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uto"/>
        <w:jc w:val="center"/>
        <w:rPr>
          <w:rFonts w:hint="eastAsia" w:ascii="BIZ UDPゴシック" w:hAnsi="BIZ UDPゴシック" w:eastAsia="BIZ UDPゴシック"/>
          <w:b w:val="1"/>
          <w:sz w:val="24"/>
        </w:rPr>
      </w:pPr>
    </w:p>
    <w:p>
      <w:pPr>
        <w:pStyle w:val="0"/>
        <w:snapToGrid w:val="0"/>
        <w:spacing w:line="240" w:lineRule="auto"/>
        <w:jc w:val="center"/>
        <w:rPr>
          <w:rFonts w:hint="eastAsia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資源物の持ち去り防止に係る</w:t>
      </w:r>
    </w:p>
    <w:p>
      <w:pPr>
        <w:pStyle w:val="0"/>
        <w:snapToGrid w:val="0"/>
        <w:spacing w:line="240" w:lineRule="auto"/>
        <w:jc w:val="center"/>
        <w:rPr>
          <w:rFonts w:hint="eastAsia" w:ascii="BIZ UDPゴシック" w:hAnsi="BIZ UDPゴシック" w:eastAsia="BIZ UDPゴシック"/>
          <w:b w:val="1"/>
          <w:sz w:val="22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　川西市廃棄物の処理及び清掃に関する条例　の一部改正について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z w:val="22"/>
          <w:highlight w:val="lightGray"/>
          <w:u w:val="none" w:color="auto"/>
        </w:rPr>
        <w:t>１　「川西市廃棄物の処理及び清掃に関する条例」の一部改正について　　　　　　　　　　　　　　　　　　</w:t>
      </w:r>
      <w:r>
        <w:rPr>
          <w:rFonts w:hint="eastAsia" w:ascii="BIZ UDPゴシック" w:hAnsi="BIZ UDPゴシック" w:eastAsia="BIZ UDPゴシック"/>
          <w:highlight w:val="lightGray"/>
          <w:u w:val="none" w:color="auto"/>
        </w:rPr>
        <w:t>　　　　</w:t>
      </w:r>
      <w:r>
        <w:rPr>
          <w:rFonts w:hint="eastAsia" w:ascii="BIZ UDPゴシック" w:hAnsi="BIZ UDPゴシック" w:eastAsia="BIZ UDPゴシック"/>
          <w:highlight w:val="lightGray"/>
          <w:u w:val="double" w:color="auto"/>
        </w:rPr>
        <w:t>　</w:t>
      </w:r>
      <w:r>
        <w:rPr>
          <w:rFonts w:hint="eastAsia" w:ascii="BIZ UDPゴシック" w:hAnsi="BIZ UDPゴシック" w:eastAsia="BIZ UDPゴシック"/>
          <w:u w:val="double" w:color="auto"/>
        </w:rPr>
        <w:t>　　　　　　　　　　　　　</w:t>
      </w: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（１）資源物の持ち去り対策について</w:t>
      </w:r>
    </w:p>
    <w:p>
      <w:pPr>
        <w:pStyle w:val="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</w:rPr>
        <w:t>　①現状と課題</w:t>
      </w:r>
    </w:p>
    <w:p>
      <w:pPr>
        <w:pStyle w:val="0"/>
        <w:ind w:left="315" w:leftChars="100" w:hanging="105" w:hangingChars="5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・不定期に市民から情報提供を受けており、持ち去られる資源物は、カンや不燃ごみの金属類や古紙類が多い。</w:t>
      </w:r>
    </w:p>
    <w:p>
      <w:pPr>
        <w:pStyle w:val="0"/>
        <w:ind w:left="420" w:leftChars="100" w:hanging="210" w:hangingChars="1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・市全域から情報提供があり、令和５年度には北部住宅団地の現地調査で現認している。</w:t>
      </w:r>
    </w:p>
    <w:p>
      <w:pPr>
        <w:pStyle w:val="0"/>
        <w:ind w:firstLine="210" w:firstLineChars="1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・ごみステーションに排出されたものは民法上の「無主物」であり、持ち去りを禁止するには法的根拠を</w:t>
      </w:r>
    </w:p>
    <w:p>
      <w:pPr>
        <w:pStyle w:val="0"/>
        <w:ind w:firstLine="315" w:firstLineChars="15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必要とする。</w:t>
      </w:r>
    </w:p>
    <w:p>
      <w:pPr>
        <w:pStyle w:val="0"/>
        <w:ind w:left="420" w:hanging="420" w:hangingChars="2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　②影響</w:t>
      </w:r>
    </w:p>
    <w:p>
      <w:pPr>
        <w:pStyle w:val="0"/>
        <w:ind w:left="420" w:leftChars="100" w:hanging="210" w:hangingChars="1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・資源物の持ち去りは、分別意識への影響、騒音やごみの散乱等生活環境の悪化を招くだけではなく、収</w:t>
      </w:r>
    </w:p>
    <w:p>
      <w:pPr>
        <w:pStyle w:val="0"/>
        <w:ind w:left="0" w:leftChars="0" w:firstLine="315" w:firstLineChars="15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集した一部の資源物は有価物として収益となることから、リサイクル行政に支障をきたす可能性がある。</w:t>
      </w:r>
    </w:p>
    <w:p>
      <w:pPr>
        <w:pStyle w:val="0"/>
        <w:ind w:left="420" w:hanging="420" w:hangingChars="2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　③対応</w:t>
      </w:r>
    </w:p>
    <w:p>
      <w:pPr>
        <w:pStyle w:val="0"/>
        <w:ind w:left="420" w:leftChars="100" w:hanging="210" w:hangingChars="1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・市一般廃棄物処理基本計画の基本方針３「資源循環と環境に配慮した収集処理の推進」の基本施策「安</w:t>
      </w:r>
    </w:p>
    <w:p>
      <w:pPr>
        <w:pStyle w:val="0"/>
        <w:ind w:left="210" w:leftChars="100" w:firstLine="105" w:firstLineChars="5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心・安全な収集処理の実現」の具体的施策として「資源物の持ち去り等への対策」を位置付けている。</w:t>
      </w:r>
    </w:p>
    <w:p>
      <w:pPr>
        <w:pStyle w:val="0"/>
        <w:ind w:left="420" w:leftChars="100" w:hanging="210" w:hangingChars="1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・市廃棄物の処理及び清掃に関する条例に、持ち去りを禁止する条項を追加するなどの改正を行う。</w:t>
      </w:r>
    </w:p>
    <w:p>
      <w:pPr>
        <w:pStyle w:val="0"/>
        <w:ind w:left="420" w:leftChars="100" w:hanging="210" w:hangingChars="10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ind w:left="420" w:leftChars="100" w:hanging="210" w:hanging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63500</wp:posOffset>
                </wp:positionV>
                <wp:extent cx="2476500" cy="6273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476500" cy="6273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ごみステーション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（資源物　カン等の金属類など）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2;mso-wrap-distance-left:5.65pt;width:195pt;height:49.4pt;mso-position-horizontal-relative:text;position:absolute;margin-left:153.69pt;margin-top:5pt;mso-wrap-distance-bottom:0pt;mso-wrap-distance-right:5.65pt;mso-wrap-distance-top:0pt;v-text-anchor:middle;" o:spid="_x0000_s1026" o:allowincell="t" o:allowoverlap="t" filled="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ごみステーション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（資源物　カン等の金属類など）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left="420" w:leftChars="100" w:hanging="210" w:hangingChars="10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ind w:left="420" w:leftChars="100" w:hanging="210" w:hanging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4096385</wp:posOffset>
                </wp:positionH>
                <wp:positionV relativeFrom="paragraph">
                  <wp:posOffset>191135</wp:posOffset>
                </wp:positionV>
                <wp:extent cx="952500" cy="501015"/>
                <wp:effectExtent l="0" t="0" r="0" b="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952500" cy="50101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position-vertical-relative:text;z-index:12;mso-wrap-distance-left:16pt;width:75pt;height:39.450000000000003pt;mso-position-horizontal-relative:text;position:absolute;margin-left:322.55pt;margin-top:15.05pt;mso-wrap-distance-bottom:0pt;mso-wrap-distance-right:16pt;mso-wrap-distance-top:0pt;" o:spid="_x0000_s1027" o:allowincell="t" o:allowoverlap="t" filled="t" fillcolor="#ff0000" stroked="t" strokecolor="#ff0000" strokeweight="1pt" o:spt="0" path="m3392,6984l3392,6984l6984,3392l10800,7208l14616,3392l18208,6984l14392,10800l18208,14616l14616,18208l10800,14392l6984,18208l3392,14616l7208,10800xe">
                <v:path textboxrect="3392,3392,18209,18209" o:connecttype="custom" o:connectlocs="5188,5188;16412,5188;16412,16412;5188,16412" o:connectangles="180,270,0,90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420" w:leftChars="100" w:hanging="210" w:hanging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5080</wp:posOffset>
                </wp:positionV>
                <wp:extent cx="713105" cy="400685"/>
                <wp:effectExtent l="635" t="635" r="29845" b="1016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 flipH="1">
                          <a:off x="0" y="0"/>
                          <a:ext cx="713105" cy="40068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8;mso-position-horizontal-relative:text;position:absolute;mso-wrap-distance-bottom:0pt;mso-wrap-distance-left:16pt;mso-wrap-distance-right:16pt;flip:x;" o:spid="_x0000_s1028" o:allowincell="t" o:allowoverlap="t" filled="f" stroked="t" strokecolor="#000000 [3213]" strokeweight="0.5pt" o:spt="20" from="119.75pt,0.4pt" to="175.9pt,31.950000000000003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5080</wp:posOffset>
                </wp:positionV>
                <wp:extent cx="795020" cy="400685"/>
                <wp:effectExtent l="635" t="635" r="29210" b="1016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795020" cy="40068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9;mso-position-horizontal-relative:text;position:absolute;mso-wrap-distance-bottom:0pt;mso-wrap-distance-left:16pt;mso-wrap-distance-right:16pt;" o:spid="_x0000_s1029" o:allowincell="t" o:allowoverlap="t" filled="f" stroked="t" strokecolor="#000000 [3213]" strokeweight="0.5pt" o:spt="20" from="329.4pt,0.4pt" to="392pt,31.950000000000003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left="420" w:leftChars="100" w:hanging="210" w:hanging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177165</wp:posOffset>
                </wp:positionV>
                <wp:extent cx="2476500" cy="40957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476500" cy="4095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市及び委託業者が収集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3;mso-wrap-distance-left:5.65pt;width:195pt;height:32.25pt;mso-position-horizontal-relative:text;position:absolute;margin-left:21.05pt;margin-top:13.95pt;mso-wrap-distance-bottom:0pt;mso-wrap-distance-right:5.65pt;mso-wrap-distance-top:0pt;v-text-anchor:middle;" o:spid="_x0000_s1030" o:allowincell="t" o:allowoverlap="t" filled="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市及び委託業者が収集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177165</wp:posOffset>
                </wp:positionV>
                <wp:extent cx="2476500" cy="409575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2476500" cy="4095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事業者や個人による持ち去り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4;mso-wrap-distance-left:5.65pt;width:195pt;height:32.25pt;mso-position-horizontal-relative:text;position:absolute;margin-left:290.55pt;margin-top:13.95pt;mso-wrap-distance-bottom:0pt;mso-wrap-distance-right:5.65pt;mso-wrap-distance-top:0pt;v-text-anchor:middle;" o:spid="_x0000_s1031" o:allowincell="t" o:allowoverlap="t" filled="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事業者や個人による持ち去り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left="420" w:leftChars="100" w:hanging="210" w:hangingChars="10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ind w:left="420" w:leftChars="100" w:hanging="210" w:hanging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163830</wp:posOffset>
                </wp:positionV>
                <wp:extent cx="0" cy="347980"/>
                <wp:effectExtent l="36195" t="0" r="65405" b="10160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0" cy="34798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13;mso-position-horizontal-relative:text;position:absolute;mso-wrap-distance-bottom:0pt;mso-wrap-distance-left:16pt;mso-wrap-distance-right:16pt;" o:spid="_x0000_s1032" o:allowincell="t" o:allowoverlap="t" filled="f" stroked="t" strokecolor="#000000 [3213]" strokeweight="0.5pt" o:spt="20" from="392pt,12.9pt" to="392pt,40.300000000000004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129540</wp:posOffset>
                </wp:positionV>
                <wp:extent cx="0" cy="318135"/>
                <wp:effectExtent l="36195" t="0" r="65405" b="10160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0" cy="31813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10;mso-position-horizontal-relative:text;position:absolute;mso-wrap-distance-bottom:0pt;mso-wrap-distance-left:16pt;mso-wrap-distance-right:16pt;" o:spid="_x0000_s1033" o:allowincell="t" o:allowoverlap="t" filled="f" stroked="t" strokecolor="#000000 [3213]" strokeweight="0.5pt" o:spt="20" from="119.75pt,10.200000000000001pt" to="119.75pt,35.2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left="420" w:leftChars="100" w:hanging="210" w:hanging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219075</wp:posOffset>
                </wp:positionV>
                <wp:extent cx="2476500" cy="553085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2476500" cy="55308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国崎クリーンセンター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紙・布リサイクルセンター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5;mso-wrap-distance-left:5.65pt;width:195pt;height:43.55pt;mso-position-horizontal-relative:text;position:absolute;margin-left:21.05pt;margin-top:17.25pt;mso-wrap-distance-bottom:0pt;mso-wrap-distance-right:5.65pt;mso-wrap-distance-top:0pt;v-text-anchor:middle;" o:spid="_x0000_s1034" o:allowincell="t" o:allowoverlap="t" filled="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国崎クリーンセンター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紙・布リサイクルセンター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21"/>
        </w:rPr>
        <w:t>　</w:t>
      </w:r>
    </w:p>
    <w:p>
      <w:pPr>
        <w:pStyle w:val="0"/>
        <w:ind w:left="420" w:leftChars="100" w:hanging="210" w:hanging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54610</wp:posOffset>
                </wp:positionV>
                <wp:extent cx="2476500" cy="409575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2476500" cy="4095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適正処理がされていない可能性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6;mso-wrap-distance-left:5.65pt;width:195pt;height:32.25pt;mso-position-horizontal-relative:text;position:absolute;margin-left:290.55pt;margin-top:4.3pt;mso-wrap-distance-bottom:0pt;mso-wrap-distance-right:5.65pt;mso-wrap-distance-top:0pt;v-text-anchor:middle;" o:spid="_x0000_s1035" o:allowincell="t" o:allowoverlap="t" filled="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適正処理がされていない可能性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left="420" w:leftChars="100" w:hanging="210" w:hangingChars="10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ind w:left="420" w:leftChars="100" w:hanging="210" w:hanging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86360</wp:posOffset>
                </wp:positionV>
                <wp:extent cx="0" cy="269875"/>
                <wp:effectExtent l="36195" t="0" r="65405" b="10160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11;mso-position-horizontal-relative:text;position:absolute;mso-wrap-distance-bottom:0pt;mso-wrap-distance-left:16pt;mso-wrap-distance-right:16pt;" o:spid="_x0000_s1036" o:allowincell="t" o:allowoverlap="t" filled="f" stroked="t" strokecolor="#000000 [3213]" strokeweight="0.5pt" o:spt="20" from="119.75pt,6.8000000000000007pt" to="119.75pt,28.0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left="420" w:leftChars="100" w:hanging="210" w:hanging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127635</wp:posOffset>
                </wp:positionV>
                <wp:extent cx="2476500" cy="409575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2476500" cy="4095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適正処理（再生利用）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7;mso-wrap-distance-left:5.65pt;width:195pt;height:32.25pt;mso-position-horizontal-relative:text;position:absolute;margin-left:21.05pt;margin-top:10.050000000000001pt;mso-wrap-distance-bottom:0pt;mso-wrap-distance-right:5.65pt;mso-wrap-distance-top:0pt;v-text-anchor:middle;" o:spid="_x0000_s1037" o:allowincell="t" o:allowoverlap="t" filled="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適正処理（再生利用）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left="420" w:leftChars="100" w:hanging="210" w:hangingChars="10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　</w:t>
      </w: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　</w:t>
      </w:r>
    </w:p>
    <w:p>
      <w:pPr>
        <w:pStyle w:val="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  <w:highlight w:val="none"/>
        </w:rPr>
        <w:t>（２）</w:t>
      </w:r>
      <w:r>
        <w:rPr>
          <w:rFonts w:hint="eastAsia" w:ascii="BIZ UDPゴシック" w:hAnsi="BIZ UDPゴシック" w:eastAsia="BIZ UDPゴシック"/>
          <w:sz w:val="21"/>
        </w:rPr>
        <w:t>その他の見直しについて</w:t>
      </w:r>
    </w:p>
    <w:p>
      <w:pPr>
        <w:pStyle w:val="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　・市の責務の追加や実務に合わせた条文の見直しを行います。</w:t>
      </w: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</w:t>
      </w: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</w:t>
      </w: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b w:val="0"/>
          <w:sz w:val="22"/>
          <w:highlight w:val="lightGray"/>
          <w:u w:val="none" w:color="auto"/>
        </w:rPr>
        <w:t>２　「川西市廃棄物の処理及び清掃に関する条例」一部改正（案）の概要　　　　　　　　　　　　　　　　　</w:t>
      </w:r>
      <w:r>
        <w:rPr>
          <w:rFonts w:hint="eastAsia" w:ascii="BIZ UDPゴシック" w:hAnsi="BIZ UDPゴシック" w:eastAsia="BIZ UDPゴシック"/>
          <w:b w:val="0"/>
          <w:highlight w:val="lightGray"/>
          <w:u w:val="none" w:color="auto"/>
        </w:rPr>
        <w:t>　　　　</w:t>
      </w: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現行の条文に、以下の内容を追加、見直しを行います。</w:t>
      </w: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（１）資源物の持ち去り対策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6720"/>
      </w:tblGrid>
      <w:tr>
        <w:trPr/>
        <w:tc>
          <w:tcPr>
            <w:tcW w:w="3145" w:type="dxa"/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ごみステーションの管理</w:t>
            </w:r>
          </w:p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（第</w:t>
            </w:r>
            <w:r>
              <w:rPr>
                <w:rFonts w:hint="eastAsia" w:ascii="BIZ UDPゴシック" w:hAnsi="BIZ UDPゴシック" w:eastAsia="BIZ UDPゴシック"/>
                <w:sz w:val="21"/>
              </w:rPr>
              <w:t>11</w:t>
            </w:r>
            <w:r>
              <w:rPr>
                <w:rFonts w:hint="eastAsia" w:ascii="BIZ UDPゴシック" w:hAnsi="BIZ UDPゴシック" w:eastAsia="BIZ UDPゴシック"/>
                <w:sz w:val="21"/>
              </w:rPr>
              <w:t>条）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ごみステーションの認定及び適切な利用、管理について明記します。</w:t>
            </w:r>
          </w:p>
        </w:tc>
      </w:tr>
      <w:tr>
        <w:trPr/>
        <w:tc>
          <w:tcPr>
            <w:tcW w:w="3145" w:type="dxa"/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資源物の収集又は運搬の禁止</w:t>
            </w:r>
          </w:p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（第</w:t>
            </w:r>
            <w:r>
              <w:rPr>
                <w:rFonts w:hint="eastAsia" w:ascii="BIZ UDPゴシック" w:hAnsi="BIZ UDPゴシック" w:eastAsia="BIZ UDPゴシック"/>
                <w:sz w:val="21"/>
              </w:rPr>
              <w:t>18</w:t>
            </w:r>
            <w:r>
              <w:rPr>
                <w:rFonts w:hint="eastAsia" w:ascii="BIZ UDPゴシック" w:hAnsi="BIZ UDPゴシック" w:eastAsia="BIZ UDPゴシック"/>
                <w:sz w:val="21"/>
              </w:rPr>
              <w:t>条）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市及び委託業者以外の者は、ごみステーション等に排出された資源物（缶、古紙類等）を収集・運搬してはならないことを明記します。</w:t>
            </w:r>
          </w:p>
        </w:tc>
      </w:tr>
      <w:tr>
        <w:trPr/>
        <w:tc>
          <w:tcPr>
            <w:tcW w:w="3145" w:type="dxa"/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公表（第</w:t>
            </w:r>
            <w:r>
              <w:rPr>
                <w:rFonts w:hint="eastAsia" w:ascii="BIZ UDPゴシック" w:hAnsi="BIZ UDPゴシック" w:eastAsia="BIZ UDPゴシック"/>
                <w:sz w:val="21"/>
              </w:rPr>
              <w:t>19</w:t>
            </w:r>
            <w:r>
              <w:rPr>
                <w:rFonts w:hint="eastAsia" w:ascii="BIZ UDPゴシック" w:hAnsi="BIZ UDPゴシック" w:eastAsia="BIZ UDPゴシック"/>
                <w:sz w:val="21"/>
              </w:rPr>
              <w:t>条）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違反者が市の命令に従わない場合、その旨を公表できることを明記します。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1"/>
        </w:rPr>
        <w:t>（２）その他の見直し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6720"/>
      </w:tblGrid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市の責務（第</w:t>
            </w:r>
            <w:r>
              <w:rPr>
                <w:rFonts w:hint="eastAsia" w:ascii="BIZ UDPゴシック" w:hAnsi="BIZ UDPゴシック" w:eastAsia="BIZ UDPゴシック"/>
                <w:sz w:val="21"/>
              </w:rPr>
              <w:t>3</w:t>
            </w:r>
            <w:r>
              <w:rPr>
                <w:rFonts w:hint="eastAsia" w:ascii="BIZ UDPゴシック" w:hAnsi="BIZ UDPゴシック" w:eastAsia="BIZ UDPゴシック"/>
                <w:sz w:val="21"/>
              </w:rPr>
              <w:t>条）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市の廃棄物の減量、処理等に関する責務を明記します。</w:t>
            </w: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清潔の保持（第</w:t>
            </w:r>
            <w:r>
              <w:rPr>
                <w:rFonts w:hint="eastAsia" w:ascii="BIZ UDPゴシック" w:hAnsi="BIZ UDPゴシック" w:eastAsia="BIZ UDPゴシック"/>
                <w:sz w:val="21"/>
              </w:rPr>
              <w:t>5</w:t>
            </w:r>
            <w:r>
              <w:rPr>
                <w:rFonts w:hint="eastAsia" w:ascii="BIZ UDPゴシック" w:hAnsi="BIZ UDPゴシック" w:eastAsia="BIZ UDPゴシック"/>
                <w:sz w:val="21"/>
              </w:rPr>
              <w:t>条）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1"/>
              </w:rPr>
            </w:pPr>
            <w:r>
              <w:rPr>
                <w:rFonts w:hint="eastAsia" w:ascii="BIZ UDPゴシック" w:hAnsi="BIZ UDPゴシック" w:eastAsia="BIZ UDPゴシック"/>
                <w:sz w:val="21"/>
              </w:rPr>
              <w:t>市長が計画を定める大掃除に関する規定を見直します。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  <w:u w:val="double" w:color="auto"/>
        </w:rPr>
      </w:pPr>
      <w:r>
        <w:rPr>
          <w:rFonts w:hint="eastAsia" w:ascii="BIZ UDPゴシック" w:hAnsi="BIZ UDPゴシック" w:eastAsia="BIZ UDPゴシック"/>
          <w:sz w:val="22"/>
          <w:highlight w:val="lightGray"/>
          <w:u w:val="none" w:color="auto"/>
        </w:rPr>
        <w:t>３　条例改正にかかるスケジュール（案）について　　　　　　　　　　　　　　　　　　　　　　　　</w:t>
      </w:r>
      <w:r>
        <w:rPr>
          <w:rFonts w:hint="eastAsia" w:ascii="BIZ UDPゴシック" w:hAnsi="BIZ UDPゴシック" w:eastAsia="BIZ UDPゴシック"/>
          <w:highlight w:val="lightGray"/>
          <w:u w:val="none" w:color="auto"/>
        </w:rPr>
        <w:t>　　　　　　　　　　　　</w:t>
      </w: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令和</w:t>
      </w:r>
      <w:r>
        <w:rPr>
          <w:rFonts w:hint="eastAsia" w:ascii="BIZ UDPゴシック" w:hAnsi="BIZ UDPゴシック" w:eastAsia="BIZ UDPゴシック"/>
        </w:rPr>
        <w:t>7</w:t>
      </w:r>
      <w:r>
        <w:rPr>
          <w:rFonts w:hint="eastAsia" w:ascii="BIZ UDPゴシック" w:hAnsi="BIZ UDPゴシック" w:eastAsia="BIZ UDPゴシック"/>
        </w:rPr>
        <w:t>年</w:t>
      </w:r>
      <w:r>
        <w:rPr>
          <w:rFonts w:hint="eastAsia" w:ascii="BIZ UDPゴシック" w:hAnsi="BIZ UDPゴシック" w:eastAsia="BIZ UDPゴシック"/>
        </w:rPr>
        <w:t>12</w:t>
      </w:r>
      <w:r>
        <w:rPr>
          <w:rFonts w:hint="eastAsia" w:ascii="BIZ UDPゴシック" w:hAnsi="BIZ UDPゴシック" w:eastAsia="BIZ UDPゴシック"/>
        </w:rPr>
        <w:t>月議会での上程を予定しています。</w:t>
      </w: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（１）条例改正まで</w:t>
      </w:r>
    </w:p>
    <w:tbl>
      <w:tblPr>
        <w:tblStyle w:val="18"/>
        <w:tblW w:w="5176" w:type="pct"/>
        <w:tblInd w:w="-215" w:type="dxa"/>
        <w:tblLayout w:type="fixed"/>
        <w:tblLook w:firstRow="1" w:lastRow="0" w:firstColumn="1" w:lastColumn="0" w:noHBand="0" w:noVBand="1" w:val="04A0"/>
      </w:tblPr>
      <w:tblGrid>
        <w:gridCol w:w="2143"/>
        <w:gridCol w:w="856"/>
        <w:gridCol w:w="861"/>
        <w:gridCol w:w="855"/>
        <w:gridCol w:w="1163"/>
        <w:gridCol w:w="965"/>
        <w:gridCol w:w="833"/>
        <w:gridCol w:w="826"/>
        <w:gridCol w:w="829"/>
        <w:gridCol w:w="748"/>
      </w:tblGrid>
      <w:tr>
        <w:trPr>
          <w:trHeight w:val="432" w:hRule="atLeast"/>
        </w:trPr>
        <w:tc>
          <w:tcPr>
            <w:tcW w:w="1063" w:type="pct"/>
            <w:shd w:val="clear" w:color="auto" w:themeFill="accent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25" w:type="pct"/>
            <w:shd w:val="clear" w:color="auto" w:themeFill="accent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４月</w:t>
            </w:r>
          </w:p>
        </w:tc>
        <w:tc>
          <w:tcPr>
            <w:tcW w:w="427" w:type="pct"/>
            <w:shd w:val="clear" w:color="auto" w:themeFill="accent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５月</w:t>
            </w:r>
          </w:p>
        </w:tc>
        <w:tc>
          <w:tcPr>
            <w:tcW w:w="424" w:type="pct"/>
            <w:shd w:val="clear" w:color="auto" w:themeFill="accent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６月</w:t>
            </w:r>
          </w:p>
        </w:tc>
        <w:tc>
          <w:tcPr>
            <w:tcW w:w="577" w:type="pct"/>
            <w:shd w:val="clear" w:color="auto" w:themeFill="accent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７月</w:t>
            </w:r>
          </w:p>
        </w:tc>
        <w:tc>
          <w:tcPr>
            <w:tcW w:w="479" w:type="pct"/>
            <w:shd w:val="clear" w:color="auto" w:themeFill="accent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８月</w:t>
            </w:r>
          </w:p>
        </w:tc>
        <w:tc>
          <w:tcPr>
            <w:tcW w:w="413" w:type="pct"/>
            <w:shd w:val="clear" w:color="auto" w:themeFill="accent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９月</w:t>
            </w:r>
          </w:p>
        </w:tc>
        <w:tc>
          <w:tcPr>
            <w:tcW w:w="410" w:type="pct"/>
            <w:shd w:val="clear" w:color="auto" w:themeFill="accent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１０月</w:t>
            </w:r>
          </w:p>
        </w:tc>
        <w:tc>
          <w:tcPr>
            <w:tcW w:w="411" w:type="pct"/>
            <w:shd w:val="clear" w:color="auto" w:themeFill="accent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１１月</w:t>
            </w:r>
          </w:p>
        </w:tc>
        <w:tc>
          <w:tcPr>
            <w:tcW w:w="371" w:type="pct"/>
            <w:shd w:val="clear" w:color="auto" w:themeFill="accent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１２月</w:t>
            </w:r>
          </w:p>
        </w:tc>
      </w:tr>
      <w:tr>
        <w:trPr>
          <w:trHeight w:val="748" w:hRule="atLeast"/>
        </w:trPr>
        <w:tc>
          <w:tcPr>
            <w:tcW w:w="1063" w:type="pc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ヒアリング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現地調査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4" behindDoc="0" locked="0" layoutInCell="1" hidden="0" allowOverlap="1">
                      <wp:simplePos x="0" y="0"/>
                      <wp:positionH relativeFrom="column">
                        <wp:posOffset>-1045845</wp:posOffset>
                      </wp:positionH>
                      <wp:positionV relativeFrom="paragraph">
                        <wp:posOffset>56515</wp:posOffset>
                      </wp:positionV>
                      <wp:extent cx="2497455" cy="354330"/>
                      <wp:effectExtent l="635" t="1270" r="29845" b="11430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/>
                            <wps:spPr>
                              <a:xfrm>
                                <a:off x="0" y="0"/>
                                <a:ext cx="2497455" cy="354330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 algn="ctr">
                                <a:solidFill>
                                  <a:schemeClr val="accent2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オブジェクト 0" style="mso-position-vertical-relative:text;z-index:14;mso-wrap-distance-left:5.65pt;width:196.65pt;height:27.9pt;mso-position-horizontal-relative:text;position:absolute;margin-left:-82.35pt;margin-top:4.45pt;mso-wrap-distance-bottom:0pt;mso-wrap-distance-right:5.65pt;mso-wrap-distance-top:0pt;" o:spid="_x0000_s1038" o:allowincell="t" o:allowoverlap="t" filled="t" fillcolor="#ed7d31 [3205]" stroked="t" strokecolor="#ed7d31 [3205]" strokeweight="1pt" o:spt="69" type="#_x0000_t69" adj="10800,54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063" w:type="pc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</w:rPr>
              <w:t>議員協議会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6/20</w:t>
            </w: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●</w:t>
            </w: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063" w:type="pc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パブリックコメント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5" behindDoc="0" locked="0" layoutInCell="1" hidden="0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32385</wp:posOffset>
                      </wp:positionV>
                      <wp:extent cx="726440" cy="406400"/>
                      <wp:effectExtent l="635" t="1270" r="29845" b="11430"/>
                      <wp:wrapNone/>
                      <wp:docPr id="103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オブジェクト 0"/>
                            <wps:cNvSpPr/>
                            <wps:spPr>
                              <a:xfrm flipH="1">
                                <a:off x="0" y="0"/>
                                <a:ext cx="726440" cy="406400"/>
                              </a:xfrm>
                              <a:prstGeom prst="leftRightArrow">
                                <a:avLst>
                                  <a:gd name="adj1" fmla="val 72480"/>
                                  <a:gd name="adj2" fmla="val 32745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chemeClr val="accent2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color w:val="000000" w:themeColor="text1"/>
                                    </w:rPr>
                                    <w:t>募集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オブジェクト 0" style="mso-position-vertical-relative:text;z-index:15;mso-wrap-distance-left:5.65pt;width:57.2pt;height:32pt;mso-position-horizontal-relative:text;position:absolute;margin-left:-6.2pt;margin-top:2.54pt;mso-wrap-distance-bottom:0pt;mso-wrap-distance-right:5.65pt;mso-wrap-distance-top:0pt;v-text-anchor:middle;flip:x;" o:spid="_x0000_s1039" o:allowincell="t" o:allowoverlap="t" filled="t" fillcolor="#ffffff [3212]" stroked="t" strokecolor="#ed7d31 [3205]" strokeweight="1.5pt" o:spt="69" type="#_x0000_t69" adj="7073,2972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募集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6" behindDoc="0" locked="0" layoutInCell="1" hidden="0" allowOverlap="1">
                      <wp:simplePos x="0" y="0"/>
                      <wp:positionH relativeFrom="column">
                        <wp:posOffset>-326390</wp:posOffset>
                      </wp:positionH>
                      <wp:positionV relativeFrom="paragraph">
                        <wp:posOffset>32385</wp:posOffset>
                      </wp:positionV>
                      <wp:extent cx="707390" cy="406400"/>
                      <wp:effectExtent l="635" t="1270" r="29845" b="11430"/>
                      <wp:wrapNone/>
                      <wp:docPr id="104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オブジェクト 0"/>
                            <wps:cNvSpPr/>
                            <wps:spPr>
                              <a:xfrm flipH="1">
                                <a:off x="0" y="0"/>
                                <a:ext cx="707390" cy="406400"/>
                              </a:xfrm>
                              <a:prstGeom prst="leftRightArrow">
                                <a:avLst>
                                  <a:gd name="adj1" fmla="val 72480"/>
                                  <a:gd name="adj2" fmla="val 32745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chemeClr val="accent2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color w:val="000000" w:themeColor="text1"/>
                                    </w:rPr>
                                    <w:t>公表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オブジェクト 0" style="mso-position-vertical-relative:text;z-index:16;mso-wrap-distance-left:5.65pt;width:55.7pt;height:32pt;mso-position-horizontal-relative:text;position:absolute;margin-left:-25.7pt;margin-top:2.54pt;mso-wrap-distance-bottom:0pt;mso-wrap-distance-right:5.65pt;mso-wrap-distance-top:0pt;v-text-anchor:middle;flip:x;" o:spid="_x0000_s1040" o:allowincell="t" o:allowoverlap="t" filled="t" fillcolor="#ffffff [3212]" stroked="t" strokecolor="#ed7d31 [3205]" strokeweight="1.5pt" o:spt="69" type="#_x0000_t69" adj="7073,2972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公表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98" w:hRule="atLeast"/>
        </w:trPr>
        <w:tc>
          <w:tcPr>
            <w:tcW w:w="1063" w:type="pc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市議会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hd w:val="clear" w:color="auto" w:fill="FFFF00"/>
              </w:rPr>
            </w:pPr>
            <w:r>
              <w:rPr>
                <w:rFonts w:hint="eastAsia"/>
                <w:shd w:val="clear" w:color="auto" w:fill="auto"/>
              </w:rPr>
              <w:t>●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（２）条例改正後</w:t>
      </w:r>
    </w:p>
    <w:p>
      <w:pPr>
        <w:pStyle w:val="0"/>
        <w:jc w:val="both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・周知活動：広報誌、ホームページ、</w:t>
      </w:r>
      <w:r>
        <w:rPr>
          <w:rFonts w:hint="eastAsia" w:ascii="BIZ UDPゴシック" w:hAnsi="BIZ UDPゴシック" w:eastAsia="BIZ UDPゴシック"/>
        </w:rPr>
        <w:t>SNS</w:t>
      </w:r>
      <w:r>
        <w:rPr>
          <w:rFonts w:hint="eastAsia" w:ascii="BIZ UDPゴシック" w:hAnsi="BIZ UDPゴシック" w:eastAsia="BIZ UDPゴシック"/>
        </w:rPr>
        <w:t>での周知</w:t>
      </w:r>
    </w:p>
    <w:p>
      <w:pPr>
        <w:pStyle w:val="0"/>
        <w:ind w:left="0" w:leftChars="0" w:firstLine="1050" w:firstLineChars="500"/>
        <w:jc w:val="both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ごみステーション等への注意看板の掲示</w:t>
      </w:r>
    </w:p>
    <w:p>
      <w:pPr>
        <w:pStyle w:val="0"/>
        <w:ind w:left="0" w:leftChars="0" w:firstLine="1050" w:firstLineChars="500"/>
        <w:jc w:val="both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自治会、コミュニティへの周知と協力依頼</w:t>
      </w:r>
    </w:p>
    <w:p>
      <w:pPr>
        <w:pStyle w:val="0"/>
        <w:jc w:val="both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・状況把握：ごみステーション利用者の協力による情報収集</w:t>
      </w:r>
    </w:p>
    <w:p>
      <w:pPr>
        <w:pStyle w:val="0"/>
        <w:ind w:firstLine="1050" w:firstLineChars="500"/>
        <w:jc w:val="both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情報収集により、現地調査などの対応を実施</w:t>
      </w: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BIZ UDPゴシック" w:hAnsi="BIZ UDPゴシック" w:eastAsia="BIZ UDPゴシック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BIZ UDPゴシック" w:hAnsi="BIZ UDPゴシック" w:eastAsia="BIZ UDPゴシック"/>
      </w:rPr>
    </w:sdtEndPr>
    <w:sdtContent>
      <w:p>
        <w:pPr>
          <w:pStyle w:val="0"/>
          <w:jc w:val="center"/>
          <w:rPr>
            <w:rFonts w:hint="eastAsia" w:ascii="BIZ UDPゴシック" w:hAnsi="BIZ UDPゴシック" w:eastAsia="BIZ UDPゴシック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 w:ascii="BIZ UDPゴシック" w:hAnsi="BIZ UDPゴシック" w:eastAsia="BIZ UDPゴシック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jc w:val="right"/>
      <w:rPr>
        <w:rFonts w:hint="eastAsia"/>
      </w:rPr>
    </w:pPr>
    <w:r>
      <w:rPr>
        <w:rFonts w:hint="eastAsia" w:ascii="ＭＳ ゴシック" w:hAnsi="ＭＳ ゴシック" w:eastAsia="ＭＳ ゴシック"/>
      </w:rPr>
      <w:t xml:space="preserve">R7.5.27 </w:t>
    </w:r>
    <w:r>
      <w:rPr>
        <w:rFonts w:hint="eastAsia" w:ascii="ＭＳ ゴシック" w:hAnsi="ＭＳ ゴシック" w:eastAsia="ＭＳ ゴシック"/>
      </w:rPr>
      <w:t>政策</w:t>
    </w:r>
    <w:bookmarkStart w:id="0" w:name="_GoBack"/>
    <w:bookmarkEnd w:id="0"/>
    <w:r>
      <w:rPr>
        <w:rFonts w:hint="eastAsia" w:ascii="ＭＳ ゴシック" w:hAnsi="ＭＳ ゴシック" w:eastAsia="ＭＳ ゴシック"/>
      </w:rPr>
      <w:t>会議　資料１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accent2"/>
        </a:solidFill>
        <a:ln w="12700" cap="flat" cmpd="sng" algn="ctr">
          <a:solidFill>
            <a:schemeClr val="accent2"/>
          </a:solidFill>
          <a:prstDash val="solid"/>
          <a:miter lim="800000"/>
          <a:headEnd/>
          <a:tailEnd/>
        </a:ln>
      </a:spPr>
      <a:bodyPr vertOverflow="overflow" horzOverflow="overflow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1710</TotalTime>
  <Pages>2</Pages>
  <Words>10</Words>
  <Characters>1154</Characters>
  <Application>JUST Note</Application>
  <Lines>130</Lines>
  <Paragraphs>75</Paragraphs>
  <Company>川西市役所</Company>
  <CharactersWithSpaces>1265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2025-05-14T06:44:50Z</cp:lastPrinted>
  <dcterms:created xsi:type="dcterms:W3CDTF">2025-04-21T03:02:00Z</dcterms:created>
  <dcterms:modified xsi:type="dcterms:W3CDTF">2025-06-10T06:25:58Z</dcterms:modified>
  <cp:revision>80</cp:revision>
</cp:coreProperties>
</file>