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highlight w:val="none"/>
        </w:rPr>
      </w:pPr>
      <w:bookmarkStart w:id="0" w:name="_GoBack"/>
      <w:bookmarkEnd w:id="0"/>
      <w:r>
        <w:rPr>
          <w:rFonts w:hint="eastAsia" w:ascii="ＭＳ 明朝" w:hAnsi="ＭＳ 明朝" w:eastAsia="ＭＳ 明朝"/>
          <w:color w:val="auto"/>
          <w:sz w:val="24"/>
          <w:highlight w:val="none"/>
        </w:rPr>
        <w:t>川西市スポーツ振興事業補助金募集要綱</w:t>
      </w:r>
    </w:p>
    <w:p>
      <w:pPr>
        <w:pStyle w:val="0"/>
        <w:jc w:val="right"/>
        <w:rPr>
          <w:rFonts w:hint="eastAsia" w:ascii="ＭＳ 明朝" w:hAnsi="ＭＳ 明朝" w:eastAsia="ＭＳ 明朝"/>
          <w:color w:val="auto"/>
          <w:sz w:val="24"/>
          <w:highlight w:val="none"/>
        </w:rPr>
      </w:pPr>
    </w:p>
    <w:p>
      <w:pPr>
        <w:pStyle w:val="0"/>
        <w:ind w:firstLine="237"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（目的）</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第１条　この要綱は、市民がスポーツ活動を通じて生きがいを持ち、健康で充実した生活を送れるよう、スポーツ振興事業を実施する団体を公募し、各種団体等が有する先駆性、専門性、柔軟性等を活かし、社会的課題や身近な地域課題に対して、効果的又は効率的な解決を図ることを目的とする。</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（応募団体の要件）</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第２条　川西市スポーツ振興事業補助金に応募することができる者は、次に掲げる全ての要件を満たす団体とする。</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市内で活動実績があり、５人以上の構成員で組織していること。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構成員の過半数以上が市内在住であること。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組織の運営に関する定款、規約、会則等の定めを有すること。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適正な会計処理が行われていること。</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川西市スポーツ振興事業補助金への応募は、１年度につき、１団体あたり、１回までしか行うことができない。</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前項の規定にかかわらず、次の各号のいずれかに該当する団体は、補助金に応募することができない。</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暴力団（暴力団員による不当な行為の防止等に関する法律（平成３年法律第７７号）第２条第２号に規定する暴力団をいう。以下同じ。）又は暴力団若しくはその構成員（暴力団の構成団体の構成員を含む。）の統制下にあ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無差別大量殺人行為を行った団体の規制に関する法律（平成１１年法律第１４７号）の規定による処分を受けている団体又は当該団体若しくはその役職員若しくは構成員の統制下にある団体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宗教の教義を広め、儀式行事を行い、及び信者を教化育成することを主たる目的とする団体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政治上の主義を推進し、支持し、又はこれに反対することを主たる目的とする団体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　特定の公職（公職選挙法（昭和２５年法律第１００号）第３条に規定する公職をいう。以下同じ。）の候補者（当該候補者になろうとする者を含む。）若しくは公職にあたる者又は政党を推薦し、支持し、又はこれらに反対することを目的とする団体</w:t>
      </w:r>
    </w:p>
    <w:p>
      <w:pPr>
        <w:pStyle w:val="0"/>
        <w:ind w:left="0" w:leftChars="0" w:right="0" w:rightChars="0"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（募集及び周知方法）</w:t>
      </w:r>
    </w:p>
    <w:p>
      <w:pPr>
        <w:pStyle w:val="0"/>
        <w:ind w:left="0" w:leftChars="0" w:right="0" w:righ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第３条　公募は、市長が申込期間を定めて行う。</w:t>
      </w:r>
    </w:p>
    <w:p>
      <w:pPr>
        <w:pStyle w:val="0"/>
        <w:ind w:left="0" w:leftChars="0" w:right="0" w:righ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前項の申込期間は、１月以上設けるものとする。</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第１項の公募に係る周知方法は、市の広報誌及びホームページへの掲載その他市長が適当と認める方法とする。</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（応募方法）</w:t>
      </w:r>
    </w:p>
    <w:p>
      <w:pPr>
        <w:pStyle w:val="0"/>
        <w:ind w:left="270" w:leftChars="16"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第４条　前条の公募に応募しようとする団体（以下「提案団体」という。）は、自らが提案する事業（以下「提案事業」という。）について記載した川西市スポーツ振興事業提案書（様式第１号）を、次に掲げる書類を添えて、前条第</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項の申込期間内に提出するものとする。</w:t>
      </w:r>
    </w:p>
    <w:p>
      <w:pPr>
        <w:pStyle w:val="0"/>
        <w:ind w:left="104" w:leftChars="5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団体の定款、規約、会則その他これらに類するもの</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役員名簿</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団体の収支予算・決算資料</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団体の活動状況を確認できる資料</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　提案事業の概要書（様式第２号）</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　事業計画書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様式第３号</w:t>
      </w:r>
      <w:r>
        <w:rPr>
          <w:rFonts w:hint="eastAsia" w:ascii="ＭＳ 明朝" w:hAnsi="ＭＳ 明朝" w:eastAsia="ＭＳ 明朝"/>
          <w:color w:val="auto"/>
          <w:sz w:val="24"/>
          <w:highlight w:val="none"/>
        </w:rPr>
        <w:t>)</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(7)</w:t>
      </w:r>
      <w:r>
        <w:rPr>
          <w:rFonts w:hint="eastAsia" w:ascii="ＭＳ 明朝" w:hAnsi="ＭＳ 明朝" w:eastAsia="ＭＳ 明朝"/>
          <w:color w:val="auto"/>
          <w:sz w:val="24"/>
          <w:highlight w:val="none"/>
        </w:rPr>
        <w:t>　事業の収支予算書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様式第４号）</w:t>
      </w:r>
    </w:p>
    <w:p>
      <w:pPr>
        <w:pStyle w:val="0"/>
        <w:ind w:left="0" w:leftChars="0"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(8)</w:t>
      </w:r>
      <w:r>
        <w:rPr>
          <w:rFonts w:hint="eastAsia" w:ascii="ＭＳ 明朝" w:hAnsi="ＭＳ 明朝" w:eastAsia="ＭＳ 明朝"/>
          <w:color w:val="auto"/>
          <w:sz w:val="24"/>
          <w:highlight w:val="none"/>
        </w:rPr>
        <w:t>　前各号に掲げるもののほか、その他市長が必要と認める書類</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前項の提案事業は市民全体のスポーツの振興に係る活動であって、次のいずれかに該当するものでなければならない。</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(1)  </w:t>
      </w:r>
      <w:r>
        <w:rPr>
          <w:rFonts w:hint="eastAsia" w:ascii="ＭＳ 明朝" w:hAnsi="ＭＳ 明朝" w:eastAsia="ＭＳ 明朝"/>
          <w:color w:val="auto"/>
          <w:sz w:val="24"/>
          <w:highlight w:val="none"/>
        </w:rPr>
        <w:t>スポーツ・レクリエーション大会</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(2)  </w:t>
      </w:r>
      <w:r>
        <w:rPr>
          <w:rFonts w:hint="eastAsia" w:ascii="ＭＳ 明朝" w:hAnsi="ＭＳ 明朝" w:eastAsia="ＭＳ 明朝"/>
          <w:color w:val="auto"/>
          <w:sz w:val="24"/>
          <w:highlight w:val="none"/>
        </w:rPr>
        <w:t>発表会</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(3)  </w:t>
      </w:r>
      <w:r>
        <w:rPr>
          <w:rFonts w:hint="eastAsia" w:ascii="ＭＳ 明朝" w:hAnsi="ＭＳ 明朝" w:eastAsia="ＭＳ 明朝"/>
          <w:color w:val="auto"/>
          <w:sz w:val="24"/>
          <w:highlight w:val="none"/>
        </w:rPr>
        <w:t>講演会</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(4)  </w:t>
      </w:r>
      <w:r>
        <w:rPr>
          <w:rFonts w:hint="eastAsia" w:ascii="ＭＳ 明朝" w:hAnsi="ＭＳ 明朝" w:eastAsia="ＭＳ 明朝"/>
          <w:color w:val="auto"/>
          <w:sz w:val="24"/>
          <w:highlight w:val="none"/>
        </w:rPr>
        <w:t>スポーツ教室</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　指導者等講習会、研修会</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(6)  </w:t>
      </w:r>
      <w:r>
        <w:rPr>
          <w:rFonts w:hint="eastAsia" w:ascii="ＭＳ 明朝" w:hAnsi="ＭＳ 明朝" w:eastAsia="ＭＳ 明朝"/>
          <w:color w:val="auto"/>
          <w:sz w:val="24"/>
          <w:highlight w:val="none"/>
        </w:rPr>
        <w:t>資格取得、更新</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（補正及び却下</w:t>
      </w:r>
      <w:r>
        <w:rPr>
          <w:rFonts w:hint="eastAsia" w:ascii="ＭＳ 明朝" w:hAnsi="ＭＳ 明朝" w:eastAsia="ＭＳ 明朝"/>
          <w:color w:val="auto"/>
          <w:sz w:val="24"/>
          <w:highlight w:val="none"/>
        </w:rPr>
        <w:t>)</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第５条　市長は、前条の規定により提出のあった川西市スポーツ振興事業提案書の内容に不備があった場合は、提案団体に対して期限を定めて補正を求めるものとする。</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市長は、提案事業の内容が補助金の目的に合致しない場合、提案事業が前条第２項各号のいずれにも該当しないことが判明した場合又は期限までに前項の補正がなされない場合においては、当該提案団体に対してスポーツ振興事業補助金却下通知書（様式第５号）を交付することによりその応募を却下するものとする。</w:t>
      </w:r>
    </w:p>
    <w:p>
      <w:pPr>
        <w:pStyle w:val="0"/>
        <w:ind w:left="207" w:leftChars="10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（審査及び評価）</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第６条　市長は、提案事業の採択の可否に係る選考について、川西市付属機関に関する条例</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昭和</w:t>
      </w:r>
      <w:r>
        <w:rPr>
          <w:rFonts w:hint="eastAsia" w:ascii="ＭＳ 明朝" w:hAnsi="ＭＳ 明朝" w:eastAsia="ＭＳ 明朝"/>
          <w:color w:val="auto"/>
          <w:sz w:val="24"/>
          <w:highlight w:val="none"/>
        </w:rPr>
        <w:t>52</w:t>
      </w:r>
      <w:r>
        <w:rPr>
          <w:rFonts w:hint="eastAsia" w:ascii="ＭＳ 明朝" w:hAnsi="ＭＳ 明朝" w:eastAsia="ＭＳ 明朝"/>
          <w:color w:val="auto"/>
          <w:sz w:val="24"/>
          <w:highlight w:val="none"/>
        </w:rPr>
        <w:t>年川西市条例第３号</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の規程に基づく川西市スポーツ振興事業補助金審査委員会</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以下、審査委員会</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に諮問する。</w:t>
      </w:r>
    </w:p>
    <w:p>
      <w:pPr>
        <w:pStyle w:val="0"/>
        <w:spacing w:after="0" w:afterLines="0" w:afterAutospacing="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審査委員会は、応募のあった提案団体に係る提案事業について審査を実施し、団体適格性、活動実績、事業の公益性、その他審査委員会が必要と認める事項の観点から事業採択の適否について評価を行い、その評価結果を市長に報告するものとする。</w:t>
      </w:r>
    </w:p>
    <w:p>
      <w:pPr>
        <w:pStyle w:val="0"/>
        <w:spacing w:after="0" w:afterLines="0" w:afterAutospacing="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審査の基準等は別表に掲げるものとする。</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　審査委員会の審査は、原則として書面審査により行う。ただし、提案事業に不明な点がある場合は、提案団体に対して、事業計画の詳細、実現可能性その他必要な事項について口頭での聴取を行いこれを確認するものとする。</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　審査委員会による審査は、非公開とする。</w:t>
      </w:r>
    </w:p>
    <w:p>
      <w:pPr>
        <w:pStyle w:val="0"/>
        <w:ind w:left="207" w:left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（事業採択の可否決定）</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第７条　市長は、前条第２項の規定に基づく審査委員会からの審査結果の報告を参考にした上で、提案事業の選考を行い、その採択の可否について決定するものとする。</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前項の規定により提案事業の採択を決定したときは、採択通知書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様式第６号</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により提案団体に対し通知するものとする。</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第１項の規定により提案事業の不採択を決定したときは、不採択通知書（様式第７号）により、提案団体に対し通知するものとする。</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（補則）</w:t>
      </w:r>
    </w:p>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第８条　この要綱に定めるもののほか、必要な事項は、市長が別に定める。</w:t>
      </w:r>
    </w:p>
    <w:p>
      <w:pPr>
        <w:pStyle w:val="0"/>
        <w:ind w:firstLine="474" w:firstLineChars="200"/>
        <w:jc w:val="both"/>
        <w:rPr>
          <w:rFonts w:hint="eastAsia" w:ascii="ＭＳ 明朝" w:hAnsi="ＭＳ 明朝" w:eastAsia="ＭＳ 明朝"/>
          <w:color w:val="auto"/>
          <w:sz w:val="24"/>
          <w:highlight w:val="none"/>
        </w:rPr>
      </w:pPr>
    </w:p>
    <w:p>
      <w:pPr>
        <w:pStyle w:val="0"/>
        <w:ind w:firstLine="711" w:firstLineChars="3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付　則</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この要綱は、令和７年１１月１日から施行する。</w:t>
      </w: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別表（第６条関係）</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【審査方法】</w:t>
      </w:r>
    </w:p>
    <w:tbl>
      <w:tblPr>
        <w:tblStyle w:val="32"/>
        <w:tblW w:w="0" w:type="auto"/>
        <w:tblInd w:w="-212" w:type="dxa"/>
        <w:tblLayout w:type="fixed"/>
        <w:tblLook w:firstRow="1" w:lastRow="0" w:firstColumn="1" w:lastColumn="0" w:noHBand="0" w:noVBand="1" w:val="04A0"/>
      </w:tblPr>
      <w:tblGrid>
        <w:gridCol w:w="621"/>
        <w:gridCol w:w="9315"/>
      </w:tblGrid>
      <w:tr>
        <w:trPr>
          <w:trHeight w:val="373"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ア</w:t>
            </w:r>
          </w:p>
        </w:tc>
        <w:tc>
          <w:tcPr>
            <w:tcW w:w="9315"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提案団体からの応募書類を基に審査を行う。</w:t>
            </w:r>
          </w:p>
        </w:tc>
      </w:tr>
      <w:tr>
        <w:trPr>
          <w:trHeight w:val="374"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イ</w:t>
            </w:r>
          </w:p>
        </w:tc>
        <w:tc>
          <w:tcPr>
            <w:tcW w:w="9315"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審査票により評価を行う。</w:t>
            </w:r>
          </w:p>
        </w:tc>
      </w:tr>
      <w:tr>
        <w:trPr>
          <w:trHeight w:val="1493" w:hRule="atLeast"/>
        </w:trPr>
        <w:tc>
          <w:tcPr>
            <w:tcW w:w="621" w:type="dxa"/>
            <w:vAlign w:val="top"/>
          </w:tcPr>
          <w:p>
            <w:pPr>
              <w:pStyle w:val="0"/>
              <w:jc w:val="center"/>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ウ</w:t>
            </w:r>
          </w:p>
        </w:tc>
        <w:tc>
          <w:tcPr>
            <w:tcW w:w="9315"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各委員の審査により事業採択の可否及び優先順位を決定する。</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（優先順位の決定は、各委員審査点の合計点が高い事業で上位とする。</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同点の場合は、審査項目のうち『事業の公益性』の審査点合計が高いもので決定する。これも同点の場合は、委員の多数決により順位を決定し、同数の場合は委員長が決定する。）</w:t>
            </w:r>
          </w:p>
        </w:tc>
      </w:tr>
      <w:tr>
        <w:trPr>
          <w:trHeight w:val="747"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エ</w:t>
            </w:r>
          </w:p>
        </w:tc>
        <w:tc>
          <w:tcPr>
            <w:tcW w:w="9315"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補助金申請内容に不明な点がある場合は提案団体に対しては、口頭によりヒアリングを行う。</w:t>
            </w:r>
          </w:p>
        </w:tc>
      </w:tr>
    </w:tbl>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【審査項目】</w:t>
      </w:r>
    </w:p>
    <w:tbl>
      <w:tblPr>
        <w:tblStyle w:val="33"/>
        <w:tblW w:w="9936" w:type="dxa"/>
        <w:jc w:val="left"/>
        <w:tblInd w:w="-212" w:type="dxa"/>
        <w:tblLayout w:type="fixed"/>
        <w:tblLook w:firstRow="1" w:lastRow="0" w:firstColumn="1" w:lastColumn="0" w:noHBand="0" w:noVBand="1" w:val="04A0"/>
      </w:tblPr>
      <w:tblGrid>
        <w:gridCol w:w="621"/>
        <w:gridCol w:w="1656"/>
        <w:gridCol w:w="4347"/>
        <w:gridCol w:w="3312"/>
      </w:tblGrid>
      <w:tr>
        <w:trPr>
          <w:trHeight w:val="717" w:hRule="atLeast"/>
        </w:trPr>
        <w:tc>
          <w:tcPr>
            <w:tcW w:w="621" w:type="dxa"/>
            <w:vAlign w:val="top"/>
          </w:tcPr>
          <w:p>
            <w:pPr>
              <w:pStyle w:val="0"/>
              <w:rPr>
                <w:rFonts w:hint="eastAsia" w:ascii="ＭＳ 明朝" w:hAnsi="ＭＳ 明朝" w:eastAsia="ＭＳ 明朝"/>
                <w:color w:val="auto"/>
                <w:sz w:val="24"/>
                <w:highlight w:val="none"/>
              </w:rPr>
            </w:pPr>
          </w:p>
        </w:tc>
        <w:tc>
          <w:tcPr>
            <w:tcW w:w="1656"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審査項目</w:t>
            </w:r>
          </w:p>
        </w:tc>
        <w:tc>
          <w:tcPr>
            <w:tcW w:w="434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評価の視点</w:t>
            </w:r>
          </w:p>
        </w:tc>
        <w:tc>
          <w:tcPr>
            <w:tcW w:w="3312"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配点</w:t>
            </w:r>
          </w:p>
        </w:tc>
      </w:tr>
      <w:tr>
        <w:trPr>
          <w:trHeight w:val="1276" w:hRule="atLeast"/>
        </w:trPr>
        <w:tc>
          <w:tcPr>
            <w:tcW w:w="621" w:type="dxa"/>
            <w:vAlign w:val="center"/>
          </w:tcPr>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w:t>
            </w:r>
          </w:p>
        </w:tc>
        <w:tc>
          <w:tcPr>
            <w:tcW w:w="1656" w:type="dxa"/>
            <w:vAlign w:val="center"/>
          </w:tcPr>
          <w:p>
            <w:pPr>
              <w:pStyle w:val="0"/>
              <w:jc w:val="center"/>
              <w:rPr>
                <w:rFonts w:hint="eastAsia" w:ascii="ＭＳ 明朝" w:hAnsi="ＭＳ 明朝" w:eastAsia="ＭＳ 明朝"/>
                <w:strike w:val="0"/>
                <w:dstrike w:val="0"/>
                <w:color w:val="auto"/>
                <w:sz w:val="24"/>
                <w:highlight w:val="none"/>
              </w:rPr>
            </w:pPr>
            <w:r>
              <w:rPr>
                <w:rFonts w:hint="eastAsia" w:ascii="ＭＳ 明朝" w:hAnsi="ＭＳ 明朝" w:eastAsia="ＭＳ 明朝"/>
                <w:color w:val="auto"/>
                <w:sz w:val="24"/>
                <w:highlight w:val="none"/>
              </w:rPr>
              <w:t>団体適格性</w:t>
            </w:r>
          </w:p>
        </w:tc>
        <w:tc>
          <w:tcPr>
            <w:tcW w:w="4347" w:type="dxa"/>
            <w:vAlign w:val="top"/>
          </w:tcPr>
          <w:p>
            <w:pPr>
              <w:pStyle w:val="0"/>
              <w:spacing w:line="240" w:lineRule="auto"/>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・構成５人以上でうち過半数は市民</w:t>
            </w:r>
          </w:p>
          <w:p>
            <w:pPr>
              <w:pStyle w:val="0"/>
              <w:spacing w:line="240" w:lineRule="auto"/>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・規則・会則等があるか</w:t>
            </w:r>
          </w:p>
          <w:p>
            <w:pPr>
              <w:pStyle w:val="0"/>
              <w:spacing w:line="240" w:lineRule="auto"/>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・適切な会計処理が行われているか</w:t>
            </w:r>
          </w:p>
        </w:tc>
        <w:tc>
          <w:tcPr>
            <w:tcW w:w="3312" w:type="dxa"/>
            <w:vAlign w:val="top"/>
          </w:tcPr>
          <w:p>
            <w:pPr>
              <w:pStyle w:val="0"/>
              <w:jc w:val="both"/>
              <w:rPr>
                <w:rFonts w:hint="eastAsia" w:ascii="ＭＳ 明朝" w:hAnsi="ＭＳ 明朝" w:eastAsia="ＭＳ 明朝"/>
                <w:color w:val="auto"/>
                <w:sz w:val="24"/>
                <w:highlight w:val="none"/>
              </w:rPr>
            </w:pPr>
          </w:p>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条件を満たしているかを判断</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（配点無し）</w:t>
            </w:r>
          </w:p>
        </w:tc>
      </w:tr>
      <w:tr>
        <w:trPr>
          <w:trHeight w:val="710" w:hRule="atLeast"/>
        </w:trPr>
        <w:tc>
          <w:tcPr>
            <w:tcW w:w="621" w:type="dxa"/>
            <w:vAlign w:val="center"/>
          </w:tcPr>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w:t>
            </w:r>
          </w:p>
        </w:tc>
        <w:tc>
          <w:tcPr>
            <w:tcW w:w="1656"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活動実績</w:t>
            </w:r>
          </w:p>
        </w:tc>
        <w:tc>
          <w:tcPr>
            <w:tcW w:w="4347" w:type="dxa"/>
            <w:vAlign w:val="top"/>
          </w:tcPr>
          <w:p>
            <w:pPr>
              <w:pStyle w:val="31"/>
              <w:ind w:left="0" w:leftChars="0" w:right="0" w:righ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・団体の活動実績</w:t>
            </w:r>
          </w:p>
        </w:tc>
        <w:tc>
          <w:tcPr>
            <w:tcW w:w="3312"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１０</w:t>
            </w:r>
          </w:p>
        </w:tc>
      </w:tr>
      <w:tr>
        <w:trPr>
          <w:trHeight w:val="670" w:hRule="atLeast"/>
        </w:trPr>
        <w:tc>
          <w:tcPr>
            <w:tcW w:w="621" w:type="dxa"/>
            <w:vAlign w:val="center"/>
          </w:tcPr>
          <w:p>
            <w:pPr>
              <w:pStyle w:val="0"/>
              <w:ind w:left="0"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w:t>
            </w:r>
          </w:p>
        </w:tc>
        <w:tc>
          <w:tcPr>
            <w:tcW w:w="1656" w:type="dxa"/>
            <w:vAlign w:val="center"/>
          </w:tcPr>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事業の公益性</w:t>
            </w:r>
          </w:p>
        </w:tc>
        <w:tc>
          <w:tcPr>
            <w:tcW w:w="4347" w:type="dxa"/>
            <w:vAlign w:val="top"/>
          </w:tcPr>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・市民に有益な事業か</w:t>
            </w:r>
          </w:p>
          <w:p>
            <w:pPr>
              <w:pStyle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・市民が広く参加できるか</w:t>
            </w:r>
          </w:p>
        </w:tc>
        <w:tc>
          <w:tcPr>
            <w:tcW w:w="3312" w:type="dxa"/>
            <w:vAlign w:val="top"/>
          </w:tcPr>
          <w:p>
            <w:pPr>
              <w:pStyle w:val="0"/>
              <w:spacing w:line="240" w:lineRule="auto"/>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９０</w:t>
            </w:r>
          </w:p>
          <w:p>
            <w:pPr>
              <w:pStyle w:val="0"/>
              <w:spacing w:line="240" w:lineRule="auto"/>
              <w:jc w:val="center"/>
              <w:rPr>
                <w:rFonts w:hint="eastAsia" w:ascii="ＭＳ 明朝" w:hAnsi="ＭＳ 明朝" w:eastAsia="ＭＳ 明朝"/>
                <w:color w:val="auto"/>
                <w:sz w:val="24"/>
                <w:highlight w:val="none"/>
              </w:rPr>
            </w:pPr>
          </w:p>
        </w:tc>
      </w:tr>
    </w:tbl>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【審査基準】</w:t>
      </w:r>
    </w:p>
    <w:tbl>
      <w:tblPr>
        <w:tblStyle w:val="32"/>
        <w:tblpPr w:leftFromText="142" w:rightFromText="142" w:topFromText="0" w:bottomFromText="0" w:vertAnchor="text" w:horzAnchor="text" w:tblpX="-211" w:tblpY="6"/>
        <w:tblW w:w="0" w:type="auto"/>
        <w:tblLayout w:type="fixed"/>
        <w:tblLook w:firstRow="1" w:lastRow="0" w:firstColumn="1" w:lastColumn="0" w:noHBand="0" w:noVBand="1" w:val="04A0"/>
      </w:tblPr>
      <w:tblGrid>
        <w:gridCol w:w="621"/>
        <w:gridCol w:w="2552"/>
        <w:gridCol w:w="6763"/>
      </w:tblGrid>
      <w:tr>
        <w:trPr>
          <w:trHeight w:val="395"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A</w:t>
            </w:r>
          </w:p>
        </w:tc>
        <w:tc>
          <w:tcPr>
            <w:tcW w:w="2552"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評価できる</w:t>
            </w:r>
          </w:p>
        </w:tc>
        <w:tc>
          <w:tcPr>
            <w:tcW w:w="6763" w:type="dxa"/>
            <w:vMerge w:val="restart"/>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各評価項目について、</w:t>
            </w:r>
            <w:r>
              <w:rPr>
                <w:rFonts w:hint="eastAsia" w:ascii="ＭＳ 明朝" w:hAnsi="ＭＳ 明朝" w:eastAsia="ＭＳ 明朝"/>
                <w:color w:val="auto"/>
                <w:sz w:val="24"/>
                <w:highlight w:val="none"/>
              </w:rPr>
              <w:t>A</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B</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C</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D</w:t>
            </w:r>
            <w:r>
              <w:rPr>
                <w:rFonts w:hint="eastAsia" w:ascii="ＭＳ 明朝" w:hAnsi="ＭＳ 明朝" w:eastAsia="ＭＳ 明朝"/>
                <w:color w:val="auto"/>
                <w:sz w:val="24"/>
                <w:highlight w:val="none"/>
              </w:rPr>
              <w:t>の４段階で行う。</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各評価の得点率は以下の通り。</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得点率：</w:t>
            </w:r>
            <w:r>
              <w:rPr>
                <w:rFonts w:hint="eastAsia" w:ascii="ＭＳ 明朝" w:hAnsi="ＭＳ 明朝" w:eastAsia="ＭＳ 明朝"/>
                <w:color w:val="auto"/>
                <w:sz w:val="24"/>
                <w:highlight w:val="none"/>
              </w:rPr>
              <w:t>A=100</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B=70</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C=40</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D=0</w:t>
            </w:r>
            <w:r>
              <w:rPr>
                <w:rFonts w:hint="eastAsia" w:ascii="ＭＳ 明朝" w:hAnsi="ＭＳ 明朝" w:eastAsia="ＭＳ 明朝"/>
                <w:color w:val="auto"/>
                <w:sz w:val="24"/>
                <w:highlight w:val="none"/>
              </w:rPr>
              <w:t>％</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３項目合計</w:t>
            </w:r>
            <w:r>
              <w:rPr>
                <w:rFonts w:hint="eastAsia" w:ascii="ＭＳ 明朝" w:hAnsi="ＭＳ 明朝" w:eastAsia="ＭＳ 明朝"/>
                <w:color w:val="auto"/>
                <w:sz w:val="24"/>
                <w:highlight w:val="none"/>
              </w:rPr>
              <w:t>100</w:t>
            </w:r>
            <w:r>
              <w:rPr>
                <w:rFonts w:hint="eastAsia" w:ascii="ＭＳ 明朝" w:hAnsi="ＭＳ 明朝" w:eastAsia="ＭＳ 明朝"/>
                <w:color w:val="auto"/>
                <w:sz w:val="24"/>
                <w:highlight w:val="none"/>
              </w:rPr>
              <w:t>点満点で採点し、審査点の総合計が６割未満の場合は不採択とする。</w:t>
            </w:r>
          </w:p>
        </w:tc>
      </w:tr>
      <w:tr>
        <w:trPr>
          <w:trHeight w:val="415"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B</w:t>
            </w:r>
          </w:p>
        </w:tc>
        <w:tc>
          <w:tcPr>
            <w:tcW w:w="2552"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やや評価できる</w:t>
            </w:r>
          </w:p>
        </w:tc>
        <w:tc>
          <w:tcPr>
            <w:tcW w:w="6763" w:type="dxa"/>
            <w:vMerge w:val="continue"/>
            <w:vAlign w:val="top"/>
          </w:tcPr>
          <w:p>
            <w:pPr>
              <w:pStyle w:val="0"/>
              <w:rPr>
                <w:rFonts w:hint="eastAsia"/>
              </w:rPr>
            </w:pPr>
          </w:p>
        </w:tc>
      </w:tr>
      <w:tr>
        <w:trPr>
          <w:trHeight w:val="416"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C</w:t>
            </w:r>
          </w:p>
        </w:tc>
        <w:tc>
          <w:tcPr>
            <w:tcW w:w="2552"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あまり評価できない</w:t>
            </w:r>
          </w:p>
        </w:tc>
        <w:tc>
          <w:tcPr>
            <w:tcW w:w="6763" w:type="dxa"/>
            <w:vMerge w:val="continue"/>
            <w:vAlign w:val="top"/>
          </w:tcPr>
          <w:p>
            <w:pPr>
              <w:pStyle w:val="0"/>
              <w:rPr>
                <w:rFonts w:hint="eastAsia"/>
              </w:rPr>
            </w:pPr>
          </w:p>
        </w:tc>
      </w:tr>
      <w:tr>
        <w:trPr>
          <w:trHeight w:val="417" w:hRule="atLeast"/>
        </w:trPr>
        <w:tc>
          <w:tcPr>
            <w:tcW w:w="621" w:type="dxa"/>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D</w:t>
            </w:r>
          </w:p>
        </w:tc>
        <w:tc>
          <w:tcPr>
            <w:tcW w:w="2552"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評価できない</w:t>
            </w:r>
          </w:p>
        </w:tc>
        <w:tc>
          <w:tcPr>
            <w:tcW w:w="6763" w:type="dxa"/>
            <w:vMerge w:val="continue"/>
            <w:vAlign w:val="top"/>
          </w:tcPr>
          <w:p>
            <w:pPr>
              <w:pStyle w:val="0"/>
              <w:rPr>
                <w:rFonts w:hint="eastAsia"/>
              </w:rPr>
            </w:pPr>
          </w:p>
        </w:tc>
      </w:tr>
    </w:tbl>
    <w:p>
      <w:pPr>
        <w:pStyle w:val="0"/>
        <w:rPr>
          <w:rFonts w:hint="eastAsia" w:eastAsia="ＭＳ 明朝" w:asciiTheme="minorEastAsia" w:hAnsiTheme="minorEastAsia"/>
          <w:color w:val="auto"/>
          <w:sz w:val="24"/>
          <w:highlight w:val="none"/>
        </w:rPr>
      </w:pPr>
    </w:p>
    <w:sectPr>
      <w:footerReference r:id="rId5" w:type="even"/>
      <w:pgSz w:w="11906" w:h="16838"/>
      <w:pgMar w:top="1361" w:right="1077" w:bottom="1304" w:left="1304" w:header="284" w:footer="284" w:gutter="0"/>
      <w:cols w:space="720"/>
      <w:textDirection w:val="lrTb"/>
      <w:docGrid w:type="linesAndChars" w:linePitch="457" w:charSpace="-6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a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8" w:y="62"/>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defaultTableStyle w:val="32"/>
  <w:drawingGridHorizontalSpacing w:val="207"/>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page number"/>
    <w:basedOn w:val="10"/>
    <w:next w:val="21"/>
    <w:link w:val="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5113</TotalTime>
  <Pages>4</Pages>
  <Words>42</Words>
  <Characters>2669</Characters>
  <Application>JUST Note</Application>
  <Lines>453</Lines>
  <Paragraphs>98</Paragraphs>
  <Company>川西市</Company>
  <CharactersWithSpaces>2718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2025-10-22T04:40:56Z</cp:lastPrinted>
  <dcterms:created xsi:type="dcterms:W3CDTF">2015-03-18T01:05:00Z</dcterms:created>
  <dcterms:modified xsi:type="dcterms:W3CDTF">2025-10-30T08:55:45Z</dcterms:modified>
  <cp:revision>89</cp:revision>
</cp:coreProperties>
</file>