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後</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造</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川西市長</w:t>
      </w:r>
      <w:r>
        <w:rPr>
          <w:rFonts w:hint="default" w:ascii="ＭＳ 明朝" w:hAnsi="ＭＳ 明朝"/>
          <w:sz w:val="21"/>
        </w:rPr>
        <w:t>　</w:t>
      </w:r>
      <w:r>
        <w:rPr>
          <w:rFonts w:hint="eastAsia" w:ascii="ＭＳ 明朝" w:hAnsi="ＭＳ 明朝"/>
          <w:sz w:val="21"/>
        </w:rPr>
        <w:t>様</w:t>
      </w:r>
      <w:bookmarkStart w:id="0" w:name="_GoBack"/>
      <w:bookmarkEnd w:id="0"/>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r>
        <w:rPr>
          <w:rFonts w:hint="default"/>
          <w:sz w:val="21"/>
        </w:rPr>
        <mc:AlternateContent>
          <mc:Choice Requires="wps">
            <w:drawing>
              <wp:anchor distT="0" distB="0" distL="114300" distR="114300" simplePos="0" relativeHeight="2" behindDoc="0" locked="0" layoutInCell="1" hidden="0" allowOverlap="1">
                <wp:simplePos x="0" y="0"/>
                <wp:positionH relativeFrom="column">
                  <wp:posOffset>4234815</wp:posOffset>
                </wp:positionH>
                <wp:positionV relativeFrom="paragraph">
                  <wp:posOffset>27305</wp:posOffset>
                </wp:positionV>
                <wp:extent cx="1381125" cy="777240"/>
                <wp:effectExtent l="635" t="635" r="29845" b="393700"/>
                <wp:wrapNone/>
                <wp:docPr id="1026" name="大かっこ 9"/>
                <a:graphic xmlns:a="http://schemas.openxmlformats.org/drawingml/2006/main">
                  <a:graphicData uri="http://schemas.microsoft.com/office/word/2010/wordprocessingShape">
                    <wps:wsp>
                      <wps:cNvPr id="1026" name="大かっこ 9"/>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position-vertical-relative:text;z-index:2;mso-wrap-distance-left:9pt;width:108.75pt;height:61.2pt;mso-position-horizontal-relative:text;position:absolute;margin-left:333.45pt;margin-top:2.15pt;mso-wrap-distance-bottom:0pt;mso-wrap-distance-right:9pt;mso-wrap-distance-top:0pt;v-text-anchor:top;" o:spid="_x0000_s1026" o:allowincell="t" o:allowoverlap="t" filled="f" stroked="t" strokecolor="#000000" strokeweight="0.75pt" o:spt="185" type="#_x0000_t185" adj="3600">
                <v:fill/>
                <v:stroke filltype="solid"/>
                <v:textbox style="layout-flow:horizontal;mso-fit-shape-to-text:t;" inset="0.69999999999999984mm,0.24694444444444438mm,0.69999999999999984mm,0.24694444444444438mm">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v:textbox>
                <v:imagedata o:title=""/>
                <w10:wrap type="none" anchorx="text" anchory="text"/>
              </v:shape>
            </w:pict>
          </mc:Fallback>
        </mc:AlternateContent>
      </w: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日に提出した伐採及び伐採後の造林の届出書に係る森林につき次のとおり伐採後の造林を実施したので、森林法第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２　伐採後の造林の実施状況</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134"/>
      </w:tblGrid>
      <w:tr>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　林</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作　業</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委託先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鳥獣害</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対</w:t>
            </w:r>
            <w:r>
              <w:rPr>
                <w:rFonts w:hint="eastAsia"/>
                <w:sz w:val="21"/>
              </w:rPr>
              <w:t>　</w:t>
            </w:r>
            <w:r>
              <w:rPr>
                <w:rFonts w:hint="default" w:ascii="ＭＳ 明朝" w:hAnsi="ＭＳ 明朝"/>
                <w:sz w:val="21"/>
              </w:rPr>
              <w:t>策</w:t>
            </w: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eastAsia"/>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sz w:val="21"/>
        </w:rPr>
        <w:t>８　鳥獣害対策欄には、防護柵の設置、幼齢木保護具の設置などの方法を記載すること。</w:t>
      </w:r>
    </w:p>
    <w:sectPr>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7</Pages>
  <Words>23</Words>
  <Characters>2971</Characters>
  <Application>JUST Note</Application>
  <Lines>2095</Lines>
  <Paragraphs>186</Paragraphs>
  <CharactersWithSpaces>3836</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Administrator</cp:lastModifiedBy>
  <cp:lastPrinted>2021-10-01T07:24:00Z</cp:lastPrinted>
  <dcterms:created xsi:type="dcterms:W3CDTF">2021-10-06T09:06:00Z</dcterms:created>
  <dcterms:modified xsi:type="dcterms:W3CDTF">2022-01-11T02:23:00Z</dcterms:modified>
  <cp:revision>3</cp:revision>
</cp:coreProperties>
</file>