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textAlignment w:val="baseline"/>
        <w:rPr>
          <w:rFonts w:hint="default"/>
          <w:sz w:val="21"/>
        </w:rPr>
      </w:pPr>
      <w:r>
        <w:rPr>
          <w:rFonts w:hint="eastAsia"/>
          <w:sz w:val="21"/>
        </w:rPr>
        <w:t>６の２　規則第</w:t>
      </w:r>
      <w:r>
        <w:rPr>
          <w:rFonts w:hint="eastAsia"/>
          <w:sz w:val="21"/>
        </w:rPr>
        <w:t>14</w:t>
      </w:r>
      <w:r>
        <w:rPr>
          <w:rFonts w:hint="eastAsia"/>
          <w:sz w:val="21"/>
        </w:rPr>
        <w:t>条の２の報告書の様式</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川西市長</w:t>
      </w:r>
      <w:r>
        <w:rPr>
          <w:rFonts w:hint="default" w:ascii="ＭＳ 明朝" w:hAnsi="ＭＳ 明朝"/>
          <w:sz w:val="21"/>
        </w:rPr>
        <w:t>　</w:t>
      </w:r>
      <w:r>
        <w:rPr>
          <w:rFonts w:hint="eastAsia" w:ascii="ＭＳ 明朝" w:hAnsi="ＭＳ 明朝"/>
          <w:sz w:val="21"/>
        </w:rPr>
        <w:t>様</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4215765</wp:posOffset>
                </wp:positionH>
                <wp:positionV relativeFrom="paragraph">
                  <wp:posOffset>17780</wp:posOffset>
                </wp:positionV>
                <wp:extent cx="1381125" cy="777240"/>
                <wp:effectExtent l="635" t="635" r="29845" b="393700"/>
                <wp:wrapNone/>
                <wp:docPr id="1026" name="大かっこ 10"/>
                <a:graphic xmlns:a="http://schemas.openxmlformats.org/drawingml/2006/main">
                  <a:graphicData uri="http://schemas.microsoft.com/office/word/2010/wordprocessingShape">
                    <wps:wsp>
                      <wps:cNvPr id="1026" name="大かっこ 10"/>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mso-position-vertical-relative:text;z-index:2;mso-wrap-distance-left:9pt;width:108.75pt;height:61.2pt;mso-position-horizontal-relative:text;position:absolute;margin-left:331.95pt;margin-top:1.4pt;mso-wrap-distance-bottom:0pt;mso-wrap-distance-right:9pt;mso-wrap-distance-top:0pt;v-text-anchor:top;"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pPr>
        <w:pStyle w:val="0"/>
        <w:overflowPunct w:val="0"/>
        <w:autoSpaceDE w:val="1"/>
        <w:autoSpaceDN w:val="1"/>
        <w:snapToGrid w:val="0"/>
        <w:textAlignment w:val="baseline"/>
        <w:rPr>
          <w:rFonts w:hint="default"/>
          <w:sz w:val="21"/>
        </w:rPr>
      </w:pPr>
      <w:r>
        <w:rPr>
          <w:rFonts w:hint="default" w:ascii="ＭＳ 明朝" w:hAnsi="ＭＳ 明朝"/>
          <w:sz w:val="21"/>
        </w:rPr>
        <w:t>　　　　　　　</w:t>
      </w:r>
      <w:bookmarkStart w:id="0" w:name="_GoBack"/>
      <w:bookmarkEnd w:id="0"/>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18"/>
        </w:rPr>
      </w:pPr>
      <w:r>
        <w:rPr>
          <w:rFonts w:hint="default" w:ascii="ＭＳ 明朝" w:hAnsi="ＭＳ 明朝"/>
          <w:sz w:val="18"/>
        </w:rPr>
        <w:t>注意事項</w:t>
      </w:r>
    </w:p>
    <w:p>
      <w:pPr>
        <w:pStyle w:val="0"/>
        <w:overflowPunct w:val="0"/>
        <w:autoSpaceDE w:val="1"/>
        <w:autoSpaceDN w:val="1"/>
        <w:snapToGrid w:val="0"/>
        <w:ind w:left="423" w:hanging="212"/>
        <w:textAlignment w:val="baseline"/>
        <w:rPr>
          <w:rFonts w:hint="default"/>
          <w:sz w:val="18"/>
        </w:rPr>
      </w:pPr>
      <w:r>
        <w:rPr>
          <w:rFonts w:hint="default" w:ascii="ＭＳ 明朝" w:hAnsi="ＭＳ 明朝"/>
          <w:sz w:val="18"/>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18"/>
        </w:rPr>
      </w:pPr>
      <w:r>
        <w:rPr>
          <w:rFonts w:hint="default" w:ascii="ＭＳ 明朝" w:hAnsi="ＭＳ 明朝"/>
          <w:sz w:val="18"/>
        </w:rPr>
        <w:t>２　森林の所在場所ごとに記載すること。</w:t>
      </w:r>
    </w:p>
    <w:p>
      <w:pPr>
        <w:pStyle w:val="0"/>
        <w:overflowPunct w:val="0"/>
        <w:autoSpaceDE w:val="1"/>
        <w:autoSpaceDN w:val="1"/>
        <w:snapToGrid w:val="0"/>
        <w:ind w:left="423" w:hanging="212"/>
        <w:textAlignment w:val="baseline"/>
        <w:rPr>
          <w:rFonts w:hint="default"/>
          <w:sz w:val="18"/>
        </w:rPr>
      </w:pPr>
      <w:r>
        <w:rPr>
          <w:rFonts w:hint="default" w:ascii="ＭＳ 明朝" w:hAnsi="ＭＳ 明朝"/>
          <w:sz w:val="18"/>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18"/>
        </w:rPr>
      </w:pPr>
      <w:r>
        <w:rPr>
          <w:rFonts w:hint="eastAsia"/>
          <w:sz w:val="18"/>
        </w:rPr>
        <w:t>４　伐採率欄には、立木材積による伐採率を記載すること。</w:t>
      </w:r>
    </w:p>
    <w:p>
      <w:pPr>
        <w:pStyle w:val="0"/>
        <w:overflowPunct w:val="0"/>
        <w:autoSpaceDE w:val="1"/>
        <w:autoSpaceDN w:val="1"/>
        <w:snapToGrid w:val="0"/>
        <w:ind w:left="423" w:hanging="212"/>
        <w:textAlignment w:val="baseline"/>
        <w:rPr>
          <w:rFonts w:hint="default"/>
          <w:sz w:val="18"/>
        </w:rPr>
      </w:pPr>
      <w:r>
        <w:rPr>
          <w:rFonts w:hint="eastAsia"/>
          <w:sz w:val="18"/>
        </w:rPr>
        <w:t>５</w:t>
      </w:r>
      <w:r>
        <w:rPr>
          <w:rFonts w:hint="default" w:ascii="ＭＳ 明朝" w:hAnsi="ＭＳ 明朝"/>
          <w:sz w:val="18"/>
        </w:rPr>
        <w:t>　樹種は、すぎ、ひのき、まつ（あかまつ及びくろまつをいう。）、からまつ、えぞまつ、とどまつ</w:t>
      </w:r>
      <w:r>
        <w:rPr>
          <w:rFonts w:hint="eastAsia"/>
          <w:sz w:val="18"/>
        </w:rPr>
        <w:t>、その他の針葉樹、ぶな、くぬぎ及び</w:t>
      </w:r>
      <w:r>
        <w:rPr>
          <w:rFonts w:hint="default" w:ascii="ＭＳ 明朝" w:hAnsi="ＭＳ 明朝"/>
          <w:sz w:val="18"/>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18"/>
        </w:rPr>
        <w:t>６　伐採齢欄には、伐採した森林が異齢林の場合においては、伐採した立木のうち最も多いものの年齢を記載し、最も年齢の低いものの年齢と最も年齢の高いものの年齢とを「（○～○）」のように記載すること。</w:t>
      </w:r>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7</Pages>
  <Words>23</Words>
  <Characters>2971</Characters>
  <Application>JUST Note</Application>
  <Lines>2095</Lines>
  <Paragraphs>186</Paragraphs>
  <CharactersWithSpaces>3836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Administrator</cp:lastModifiedBy>
  <cp:lastPrinted>2021-10-01T07:24:00Z</cp:lastPrinted>
  <dcterms:created xsi:type="dcterms:W3CDTF">2021-10-06T09:06:00Z</dcterms:created>
  <dcterms:modified xsi:type="dcterms:W3CDTF">2022-01-11T02:23:00Z</dcterms:modified>
  <cp:revision>3</cp:revision>
</cp:coreProperties>
</file>