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center"/>
        <w:rPr>
          <w:rFonts w:hint="default" w:asciiTheme="minorEastAsia" w:hAnsiTheme="minorEastAsia"/>
          <w:b w:val="1"/>
          <w:sz w:val="36"/>
        </w:rPr>
      </w:pPr>
      <w:r>
        <w:rPr>
          <w:rFonts w:hint="eastAsia" w:asciiTheme="minorEastAsia" w:hAnsiTheme="minorEastAsia"/>
          <w:b w:val="1"/>
          <w:sz w:val="36"/>
        </w:rPr>
        <w:t>中小企業信用保険法第２条第５項第５号の規定による　　　　認定申請書</w:t>
      </w:r>
      <w:r>
        <w:rPr>
          <w:rFonts w:hint="eastAsia" w:asciiTheme="minorEastAsia" w:hAnsiTheme="minorEastAsia"/>
          <w:b w:val="1"/>
          <w:sz w:val="36"/>
        </w:rPr>
        <w:t>(</w:t>
      </w:r>
      <w:r>
        <w:rPr>
          <w:rFonts w:hint="eastAsia" w:asciiTheme="minorEastAsia" w:hAnsiTheme="minorEastAsia"/>
          <w:b w:val="1"/>
          <w:sz w:val="36"/>
        </w:rPr>
        <w:t>ロ―②</w:t>
      </w:r>
      <w:r>
        <w:rPr>
          <w:rFonts w:hint="eastAsia" w:asciiTheme="minorEastAsia" w:hAnsiTheme="minorEastAsia"/>
          <w:b w:val="1"/>
          <w:sz w:val="36"/>
        </w:rPr>
        <w:t>)</w:t>
      </w:r>
    </w:p>
    <w:p>
      <w:pPr>
        <w:pStyle w:val="0"/>
        <w:spacing w:line="300" w:lineRule="exact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　年　　　月　　　日</w:t>
      </w:r>
    </w:p>
    <w:p>
      <w:pPr>
        <w:pStyle w:val="0"/>
        <w:spacing w:line="300" w:lineRule="exact"/>
        <w:ind w:right="88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川西市長　　あて</w:t>
      </w:r>
    </w:p>
    <w:p>
      <w:pPr>
        <w:pStyle w:val="0"/>
        <w:ind w:firstLine="4393" w:firstLineChars="1997"/>
        <w:rPr>
          <w:rFonts w:hint="default"/>
          <w:sz w:val="24"/>
        </w:rPr>
      </w:pPr>
      <w:r>
        <w:rPr>
          <w:rFonts w:hint="eastAsia" w:asciiTheme="minorEastAsia" w:hAnsiTheme="minorEastAsia"/>
          <w:sz w:val="22"/>
        </w:rPr>
        <w:t>申請者　</w:t>
      </w:r>
      <w:r>
        <w:rPr>
          <w:rFonts w:hint="eastAsia" w:asciiTheme="minorEastAsia" w:hAnsiTheme="minorEastAsia"/>
          <w:u w:val="single" w:color="auto"/>
        </w:rPr>
        <w:t>所在地</w:t>
      </w:r>
      <w:r>
        <w:rPr>
          <w:rFonts w:hint="eastAsia" w:asciiTheme="minorEastAsia" w:hAnsiTheme="minorEastAsia"/>
          <w:sz w:val="24"/>
          <w:u w:val="single" w:color="auto"/>
        </w:rPr>
        <w:t>　　　　　　　　</w:t>
      </w:r>
      <w:r>
        <w:rPr>
          <w:rFonts w:hint="eastAsia" w:asciiTheme="minorEastAsia" w:hAnsiTheme="minorEastAsia"/>
          <w:sz w:val="24"/>
          <w:u w:val="single" w:color="auto"/>
        </w:rPr>
        <w:t xml:space="preserve"> </w:t>
      </w:r>
      <w:r>
        <w:rPr>
          <w:rFonts w:hint="default" w:asciiTheme="minorEastAsia" w:hAnsiTheme="minorEastAsia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sz w:val="24"/>
          <w:u w:val="single" w:color="auto"/>
        </w:rPr>
        <w:t>　　　　　　　　　</w:t>
      </w:r>
    </w:p>
    <w:p>
      <w:pPr>
        <w:pStyle w:val="0"/>
        <w:ind w:right="-567" w:rightChars="-270" w:firstLine="5244" w:firstLineChars="2497"/>
        <w:rPr>
          <w:rFonts w:hint="default"/>
          <w:sz w:val="24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会社名</w:t>
      </w:r>
      <w:r>
        <w:rPr>
          <w:rFonts w:hint="eastAsia" w:asciiTheme="minorEastAsia" w:hAnsiTheme="minorEastAsia"/>
          <w:u w:val="single" w:color="auto"/>
        </w:rPr>
        <w:t>/</w:t>
      </w:r>
      <w:r>
        <w:rPr>
          <w:rFonts w:hint="eastAsia" w:asciiTheme="minorEastAsia" w:hAnsiTheme="minorEastAsia"/>
          <w:u w:val="single" w:color="auto"/>
        </w:rPr>
        <w:t>屋号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  <w:u w:val="single" w:color="auto"/>
        </w:rPr>
        <w:t xml:space="preserve">         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</w:t>
      </w:r>
    </w:p>
    <w:p>
      <w:pPr>
        <w:pStyle w:val="0"/>
        <w:ind w:right="-567" w:rightChars="-270" w:firstLine="5244" w:firstLineChars="2497"/>
        <w:rPr>
          <w:rFonts w:hint="default"/>
          <w:sz w:val="24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代表者役職・氏名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   </w:t>
      </w:r>
      <w:r>
        <w:rPr>
          <w:rFonts w:hint="eastAsia"/>
          <w:sz w:val="24"/>
          <w:u w:val="single" w:color="auto"/>
        </w:rPr>
        <w:t>　　　　</w:t>
      </w:r>
    </w:p>
    <w:p>
      <w:pPr>
        <w:pStyle w:val="0"/>
        <w:spacing w:line="300" w:lineRule="exact"/>
        <w:ind w:right="879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私は、</w:t>
      </w:r>
      <w:r>
        <w:rPr>
          <w:rFonts w:hint="eastAsia" w:asciiTheme="minorEastAsia" w:hAnsiTheme="minorEastAsia"/>
          <w:sz w:val="22"/>
          <w:u w:val="single" w:color="auto"/>
        </w:rPr>
        <w:t>　　　　　　　　</w:t>
      </w:r>
      <w:r>
        <w:rPr>
          <w:rFonts w:hint="eastAsia" w:asciiTheme="minorEastAsia" w:hAnsiTheme="minorEastAsia"/>
          <w:sz w:val="22"/>
        </w:rPr>
        <w:t>業を営んでいるが、下記のとおり、主要原材料である原油及び石油製品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以下「原油等」という。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の価格が著しく上昇しているにもかかわらず、製品等価格の引上げが著しく困難であるため、経営の安定に支障が生じておりますので、中小企業信用保険法第２条第５項第５号に規定に基づき認定されるようにお願いします。</w:t>
      </w:r>
    </w:p>
    <w:p>
      <w:pPr>
        <w:pStyle w:val="0"/>
        <w:spacing w:line="160" w:lineRule="exact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numPr>
          <w:ilvl w:val="0"/>
          <w:numId w:val="1"/>
        </w:numPr>
        <w:spacing w:line="240" w:lineRule="exact"/>
        <w:ind w:left="357" w:hanging="357" w:hangingChars="170"/>
        <w:rPr>
          <w:rFonts w:hint="default"/>
        </w:rPr>
      </w:pPr>
      <w:r>
        <w:rPr>
          <w:rFonts w:hint="eastAsia"/>
        </w:rPr>
        <w:t>原油等の仕入単価の上昇</w:t>
      </w:r>
    </w:p>
    <w:p>
      <w:pPr>
        <w:pStyle w:val="0"/>
        <w:spacing w:line="260" w:lineRule="exact"/>
        <w:ind w:left="357" w:firstLine="630" w:firstLineChars="3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Ｅ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spacing w:line="22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 </w:t>
      </w:r>
      <w:r>
        <w:rPr>
          <w:rFonts w:hint="eastAsia"/>
        </w:rPr>
        <w:t>ｅ　　×１００－１００　　　　　　　　　</w:t>
      </w:r>
      <w:r>
        <w:rPr>
          <w:rFonts w:hint="eastAsia"/>
          <w:sz w:val="18"/>
          <w:u w:val="single" w:color="auto"/>
        </w:rPr>
        <w:t>主たる業種に係る上昇率</w:t>
      </w:r>
      <w:r>
        <w:rPr>
          <w:rFonts w:hint="eastAsia"/>
          <w:u w:val="single" w:color="auto"/>
        </w:rPr>
        <w:t>　　　　　　　　　％　</w:t>
      </w:r>
    </w:p>
    <w:p>
      <w:pPr>
        <w:pStyle w:val="0"/>
        <w:spacing w:line="300" w:lineRule="exact"/>
        <w:ind w:left="357"/>
        <w:rPr>
          <w:rFonts w:hint="default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sz w:val="18"/>
          <w:u w:val="single" w:color="auto"/>
        </w:rPr>
        <w:t>全体に係る上昇率</w:t>
      </w:r>
      <w:r>
        <w:rPr>
          <w:rFonts w:hint="eastAsia"/>
          <w:u w:val="single" w:color="auto"/>
        </w:rPr>
        <w:t>　　　　　　　　　　　　％　</w:t>
      </w:r>
      <w:r>
        <w:rPr>
          <w:rFonts w:hint="eastAsia"/>
        </w:rPr>
        <w:t>　</w:t>
      </w:r>
    </w:p>
    <w:p>
      <w:pPr>
        <w:pStyle w:val="0"/>
        <w:spacing w:line="320" w:lineRule="exact"/>
        <w:ind w:left="357" w:right="-286" w:rightChars="-136"/>
        <w:rPr>
          <w:rFonts w:hint="default"/>
          <w:u w:val="single" w:color="auto"/>
        </w:rPr>
      </w:pPr>
      <w:r>
        <w:rPr>
          <w:rFonts w:hint="eastAsia"/>
        </w:rPr>
        <w:t>Ｅ：原油等の最近１か月間における平均仕入れ単価　　　</w:t>
      </w:r>
      <w:r>
        <w:rPr>
          <w:rFonts w:hint="eastAsia"/>
          <w:sz w:val="18"/>
          <w:u w:val="single" w:color="auto"/>
        </w:rPr>
        <w:t>主たる業種に係る平均仕入単価</w:t>
      </w:r>
      <w:r>
        <w:rPr>
          <w:rFonts w:hint="eastAsia"/>
          <w:u w:val="single" w:color="auto"/>
        </w:rPr>
        <w:t>　　　　　　　　　円</w:t>
      </w:r>
    </w:p>
    <w:p>
      <w:pPr>
        <w:pStyle w:val="0"/>
        <w:spacing w:line="320" w:lineRule="exact"/>
        <w:ind w:left="357" w:right="-286" w:rightChars="-136"/>
        <w:rPr>
          <w:rFonts w:hint="default"/>
          <w:sz w:val="18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全体に係る平均仕入価格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　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00" w:lineRule="exact"/>
        <w:ind w:left="357" w:right="-286" w:rightChars="-136"/>
        <w:rPr>
          <w:rFonts w:hint="default"/>
          <w:u w:val="single" w:color="auto"/>
        </w:rPr>
      </w:pPr>
      <w:r>
        <w:rPr>
          <w:rFonts w:hint="eastAsia"/>
        </w:rPr>
        <w:t>ｅ：Ｅの期間に対応する前年１か月間の平均仕入れ単価　</w:t>
      </w:r>
      <w:r>
        <w:rPr>
          <w:rFonts w:hint="eastAsia"/>
        </w:rPr>
        <w:t xml:space="preserve"> </w:t>
      </w:r>
      <w:r>
        <w:rPr>
          <w:rFonts w:hint="eastAsia"/>
          <w:sz w:val="18"/>
          <w:u w:val="single" w:color="auto"/>
        </w:rPr>
        <w:t>主たる業種に係る平均仕入単価　　　　</w:t>
      </w:r>
      <w:r>
        <w:rPr>
          <w:rFonts w:hint="eastAsia"/>
          <w:u w:val="single" w:color="auto"/>
        </w:rPr>
        <w:t>　　　　　円</w:t>
      </w:r>
    </w:p>
    <w:p>
      <w:pPr>
        <w:pStyle w:val="0"/>
        <w:spacing w:line="300" w:lineRule="exact"/>
        <w:ind w:left="357" w:right="-286" w:rightChars="-136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8"/>
          <w:u w:val="single" w:color="auto"/>
        </w:rPr>
        <w:t>全体に係る仕入単価　　　　　　　　　　　　　　　</w:t>
      </w:r>
      <w:r>
        <w:rPr>
          <w:rFonts w:hint="eastAsia"/>
          <w:u w:val="single" w:color="auto"/>
        </w:rPr>
        <w:t>円</w:t>
      </w:r>
    </w:p>
    <w:p>
      <w:pPr>
        <w:pStyle w:val="0"/>
        <w:numPr>
          <w:ilvl w:val="0"/>
          <w:numId w:val="1"/>
        </w:numPr>
        <w:spacing w:line="300" w:lineRule="exact"/>
        <w:ind w:left="357" w:right="-286" w:rightChars="-136" w:hanging="357" w:hangingChars="170"/>
        <w:rPr>
          <w:rFonts w:hint="default"/>
        </w:rPr>
      </w:pPr>
      <w:r>
        <w:rPr>
          <w:rFonts w:hint="eastAsia"/>
        </w:rPr>
        <w:t>原油等が売上原価に占める割合　　</w:t>
      </w:r>
    </w:p>
    <w:p>
      <w:pPr>
        <w:pStyle w:val="0"/>
        <w:spacing w:line="26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Ｓ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spacing w:line="220" w:lineRule="exact"/>
        <w:rPr>
          <w:rFonts w:hint="default"/>
          <w:u w:val="single" w:color="auto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Ｃ　　×１００　　　　　　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主たる業種に係る依存率　</w:t>
      </w:r>
      <w:r>
        <w:rPr>
          <w:rFonts w:hint="eastAsia"/>
          <w:u w:val="single" w:color="auto"/>
        </w:rPr>
        <w:t>　　　　　　　　％</w:t>
      </w:r>
    </w:p>
    <w:p>
      <w:pPr>
        <w:pStyle w:val="0"/>
        <w:spacing w:line="300" w:lineRule="exact"/>
        <w:rPr>
          <w:rFonts w:hint="default"/>
          <w:sz w:val="18"/>
          <w:u w:val="single" w:color="auto"/>
        </w:rPr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 w:color="auto"/>
        </w:rPr>
        <w:t>全体に係る依存率　　　　　　　　　　　　　</w:t>
      </w:r>
      <w:r>
        <w:rPr>
          <w:rFonts w:hint="eastAsia"/>
          <w:u w:val="single" w:color="auto"/>
        </w:rPr>
        <w:t>％</w:t>
      </w:r>
    </w:p>
    <w:p>
      <w:pPr>
        <w:pStyle w:val="0"/>
        <w:spacing w:line="340" w:lineRule="exact"/>
        <w:rPr>
          <w:rFonts w:hint="default"/>
          <w:u w:val="single" w:color="auto"/>
        </w:rPr>
      </w:pPr>
      <w:r>
        <w:rPr>
          <w:rFonts w:hint="eastAsia"/>
        </w:rPr>
        <w:t>　　Ｃ：申込時点における最新の売上原価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 w:color="auto"/>
        </w:rPr>
        <w:t>主たる業種に係る売上原価　　　</w:t>
      </w:r>
      <w:r>
        <w:rPr>
          <w:rFonts w:hint="eastAsia"/>
          <w:u w:val="single" w:color="auto"/>
        </w:rPr>
        <w:t>　　　　　　　　円</w:t>
      </w:r>
    </w:p>
    <w:p>
      <w:pPr>
        <w:pStyle w:val="0"/>
        <w:spacing w:line="300" w:lineRule="exact"/>
        <w:rPr>
          <w:rFonts w:hint="default"/>
          <w:sz w:val="18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全体に係る売上原価　　　　　　　　　　　　　　　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40" w:lineRule="exact"/>
        <w:rPr>
          <w:rFonts w:hint="default"/>
          <w:u w:val="single" w:color="auto"/>
        </w:rPr>
      </w:pPr>
      <w:r>
        <w:rPr>
          <w:rFonts w:hint="eastAsia"/>
        </w:rPr>
        <w:t>　　Ｓ：Ｃの売上原価に対応する原油等の仕入価格　　　　</w:t>
      </w:r>
      <w:r>
        <w:rPr>
          <w:rFonts w:hint="eastAsia"/>
          <w:sz w:val="18"/>
        </w:rPr>
        <w:t>　</w:t>
      </w:r>
      <w:r>
        <w:rPr>
          <w:rFonts w:hint="eastAsia"/>
          <w:sz w:val="18"/>
          <w:u w:val="single" w:color="auto"/>
        </w:rPr>
        <w:t>主たる業種に係る仕入価格　　　</w:t>
      </w:r>
      <w:r>
        <w:rPr>
          <w:rFonts w:hint="eastAsia"/>
          <w:u w:val="single" w:color="auto"/>
        </w:rPr>
        <w:t>　　　　　　円</w:t>
      </w:r>
    </w:p>
    <w:p>
      <w:pPr>
        <w:pStyle w:val="0"/>
        <w:spacing w:line="300" w:lineRule="exact"/>
        <w:rPr>
          <w:rFonts w:hint="default"/>
          <w:sz w:val="18"/>
          <w:u w:val="single" w:color="auto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全体に係る仕入価格　　　　　　　　　　　　　</w:t>
      </w:r>
      <w:r>
        <w:rPr>
          <w:rFonts w:hint="eastAsia"/>
          <w:u w:val="single" w:color="auto"/>
        </w:rPr>
        <w:t>円</w:t>
      </w:r>
      <w:r>
        <w:rPr>
          <w:rFonts w:hint="eastAsia"/>
          <w:sz w:val="18"/>
          <w:u w:val="single" w:color="auto"/>
        </w:rPr>
        <w:t>　</w:t>
      </w:r>
    </w:p>
    <w:p>
      <w:pPr>
        <w:pStyle w:val="0"/>
        <w:numPr>
          <w:ilvl w:val="0"/>
          <w:numId w:val="1"/>
        </w:numPr>
        <w:spacing w:line="300" w:lineRule="exact"/>
        <w:ind w:left="357" w:hanging="357" w:hangingChars="170"/>
        <w:rPr>
          <w:rFonts w:hint="default"/>
        </w:rPr>
      </w:pPr>
      <w:r>
        <w:rPr>
          <w:rFonts w:hint="eastAsia"/>
        </w:rPr>
        <w:t>製品等価格への転嫁の状況</w:t>
      </w:r>
    </w:p>
    <w:p>
      <w:pPr>
        <w:pStyle w:val="0"/>
        <w:spacing w:line="260" w:lineRule="exact"/>
        <w:ind w:left="357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Ａ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ａ</w:t>
      </w:r>
      <w:r>
        <w:rPr>
          <w:rFonts w:hint="eastAsia"/>
          <w:u w:val="single" w:color="auto"/>
        </w:rPr>
        <w:t xml:space="preserve"> </w:t>
      </w:r>
    </w:p>
    <w:p>
      <w:pPr>
        <w:pStyle w:val="0"/>
        <w:spacing w:line="24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Ｂ　　　　　　ｂ　　　　＝Ｐ　　　　　</w:t>
      </w:r>
      <w:r>
        <w:rPr>
          <w:rFonts w:hint="eastAsia"/>
          <w:sz w:val="18"/>
          <w:u w:val="single" w:color="auto"/>
        </w:rPr>
        <w:t>主たる業種に係る転嫁の状況　Ｐ＝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spacing w:line="24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8"/>
          <w:u w:val="single" w:color="auto"/>
        </w:rPr>
        <w:t>全体に係る転嫁の状況　Ｐ＝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Ａ：申込時点における最近３か月間の原油等の仕入価格　</w:t>
      </w:r>
      <w:r>
        <w:rPr>
          <w:rFonts w:hint="eastAsia"/>
          <w:sz w:val="18"/>
        </w:rPr>
        <w:t>　</w:t>
      </w:r>
      <w:r>
        <w:rPr>
          <w:rFonts w:hint="eastAsia"/>
          <w:sz w:val="18"/>
          <w:u w:val="single" w:color="auto"/>
        </w:rPr>
        <w:t>主たる業種に係る仕入価格　　　</w:t>
      </w:r>
      <w:r>
        <w:rPr>
          <w:rFonts w:hint="eastAsia"/>
          <w:u w:val="single" w:color="auto"/>
        </w:rPr>
        <w:t>　　　　　円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全体に係る仕入価格　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ａ：Ａの期間に対応する前年３か月間の原油等の仕入価格　</w:t>
      </w:r>
      <w:r>
        <w:rPr>
          <w:rFonts w:hint="eastAsia"/>
        </w:rPr>
        <w:t xml:space="preserve"> </w:t>
      </w:r>
      <w:r>
        <w:rPr>
          <w:rFonts w:hint="eastAsia"/>
          <w:sz w:val="18"/>
          <w:u w:val="single" w:color="auto"/>
        </w:rPr>
        <w:t>主たる業種に係る仕入価格　　</w:t>
      </w:r>
      <w:r>
        <w:rPr>
          <w:rFonts w:hint="eastAsia"/>
          <w:u w:val="single" w:color="auto"/>
        </w:rPr>
        <w:t>　　　　　円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全体に係る仕入価格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　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Ｂ：申込時点における最近３か月間の売上高　　　　　　</w:t>
      </w:r>
      <w:r>
        <w:rPr>
          <w:rFonts w:hint="eastAsia"/>
          <w:sz w:val="18"/>
          <w:u w:val="single" w:color="auto"/>
        </w:rPr>
        <w:t>主たる業種に係る売上高　　　　　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円</w:t>
      </w:r>
    </w:p>
    <w:p>
      <w:pPr>
        <w:pStyle w:val="0"/>
        <w:spacing w:line="300" w:lineRule="exact"/>
        <w:ind w:left="357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全体に係る売上高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00" w:lineRule="exact"/>
        <w:ind w:left="357" w:firstLine="210" w:firstLineChars="100"/>
        <w:rPr>
          <w:rFonts w:hint="default"/>
          <w:u w:val="single" w:color="auto"/>
        </w:rPr>
      </w:pPr>
      <w:r>
        <w:rPr>
          <w:rFonts w:hint="eastAsia"/>
        </w:rPr>
        <w:t>ｂ：Ｂの期間に対応する前年３か月間の売上高　　　　　</w:t>
      </w:r>
      <w:r>
        <w:rPr>
          <w:rFonts w:hint="eastAsia"/>
          <w:sz w:val="18"/>
          <w:u w:val="single" w:color="auto"/>
        </w:rPr>
        <w:t>主たる業種に係る売上高</w:t>
      </w:r>
      <w:r>
        <w:rPr>
          <w:rFonts w:hint="eastAsia"/>
          <w:u w:val="single" w:color="auto"/>
        </w:rPr>
        <w:t>　　　　　　　　　円</w:t>
      </w:r>
    </w:p>
    <w:p>
      <w:pPr>
        <w:pStyle w:val="0"/>
        <w:spacing w:line="300" w:lineRule="exact"/>
        <w:ind w:left="357" w:firstLine="210" w:firstLineChars="10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18"/>
          <w:u w:val="single" w:color="auto"/>
        </w:rPr>
        <w:t>全体に係る売上高　　　　　　　　　　　　　</w:t>
      </w:r>
      <w:r>
        <w:rPr>
          <w:rFonts w:hint="eastAsia"/>
          <w:sz w:val="18"/>
          <w:u w:val="single" w:color="auto"/>
        </w:rPr>
        <w:t xml:space="preserve"> </w:t>
      </w:r>
      <w:r>
        <w:rPr>
          <w:rFonts w:hint="eastAsia"/>
          <w:u w:val="single" w:color="auto"/>
        </w:rPr>
        <w:t>円</w:t>
      </w:r>
    </w:p>
    <w:p>
      <w:pPr>
        <w:pStyle w:val="0"/>
        <w:spacing w:line="340" w:lineRule="exact"/>
        <w:jc w:val="center"/>
        <w:rPr>
          <w:rFonts w:hint="default"/>
          <w:b w:val="1"/>
          <w:u w:val="single" w:color="auto"/>
        </w:rPr>
      </w:pPr>
      <w:bookmarkStart w:id="0" w:name="_GoBack"/>
      <w:bookmarkEnd w:id="0"/>
    </w:p>
    <w:p>
      <w:pPr>
        <w:pStyle w:val="0"/>
        <w:spacing w:line="100" w:lineRule="exact"/>
        <w:ind w:left="-2" w:leftChars="-202" w:right="-426" w:rightChars="-203" w:hanging="424" w:hangingChars="201"/>
        <w:rPr>
          <w:rFonts w:hint="default"/>
          <w:b w:val="1"/>
          <w:u w:val="dotDash" w:color="auto"/>
        </w:rPr>
      </w:pPr>
      <w:r>
        <w:rPr>
          <w:rFonts w:hint="eastAsia"/>
          <w:b w:val="1"/>
          <w:u w:val="dotDash" w:color="auto"/>
        </w:rPr>
        <w:t>　　　　　　　　　　　　　　　　　　　　　　　　　　　　　　　　　　　　　　　　　　　　　　　　　　　　</w:t>
      </w:r>
    </w:p>
    <w:p>
      <w:pPr>
        <w:pStyle w:val="0"/>
        <w:spacing w:line="34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認　定　書</w:t>
      </w:r>
    </w:p>
    <w:p>
      <w:pPr>
        <w:pStyle w:val="0"/>
        <w:spacing w:line="240" w:lineRule="exact"/>
        <w:rPr>
          <w:rFonts w:hint="default"/>
          <w:sz w:val="22"/>
        </w:rPr>
      </w:pPr>
      <w:r>
        <w:rPr>
          <w:rFonts w:hint="eastAsia"/>
          <w:sz w:val="22"/>
        </w:rPr>
        <w:t>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番　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〕　　　－</w:t>
      </w: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令和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日</w:t>
      </w: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本認定書の有効期限：令和　　年　　月　　日から令和　　年　　月　　日まで</w:t>
      </w:r>
    </w:p>
    <w:p>
      <w:pPr>
        <w:pStyle w:val="0"/>
        <w:spacing w:line="100" w:lineRule="exact"/>
        <w:rPr>
          <w:rFonts w:hint="default"/>
          <w:sz w:val="22"/>
        </w:rPr>
      </w:pPr>
    </w:p>
    <w:p>
      <w:pPr>
        <w:pStyle w:val="0"/>
        <w:spacing w:line="340" w:lineRule="exact"/>
        <w:ind w:firstLine="5880" w:firstLineChars="2100"/>
        <w:rPr>
          <w:rFonts w:hint="default"/>
          <w:sz w:val="28"/>
        </w:rPr>
      </w:pPr>
      <w:r>
        <w:rPr>
          <w:rFonts w:hint="eastAsia"/>
          <w:sz w:val="28"/>
        </w:rPr>
        <w:t>川西市長　越田　謙治郎</w:t>
      </w:r>
    </w:p>
    <w:p>
      <w:pPr>
        <w:pStyle w:val="0"/>
        <w:spacing w:line="26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認定権者記載欄</w:t>
      </w:r>
      <w:r>
        <w:rPr>
          <w:rFonts w:hint="eastAsia" w:asciiTheme="majorEastAsia" w:hAnsiTheme="majorEastAsia" w:eastAsiaTheme="majorEastAsia"/>
        </w:rPr>
        <w:t>)</w:t>
      </w:r>
    </w:p>
    <w:tbl>
      <w:tblPr>
        <w:tblStyle w:val="21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78"/>
        <w:gridCol w:w="3279"/>
        <w:gridCol w:w="3279"/>
      </w:tblGrid>
      <w:tr>
        <w:trPr/>
        <w:tc>
          <w:tcPr>
            <w:tcW w:w="327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single" w:color="auto" w:sz="2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  <w:tc>
          <w:tcPr>
            <w:tcW w:w="327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278" w:type="dxa"/>
            <w:tcBorders>
              <w:top w:val="single" w:color="auto" w:sz="2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  <w:tc>
          <w:tcPr>
            <w:tcW w:w="327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  <w:tc>
          <w:tcPr>
            <w:tcW w:w="3279" w:type="dxa"/>
            <w:vAlign w:val="top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</w:p>
        </w:tc>
      </w:tr>
    </w:tbl>
    <w:p>
      <w:pPr>
        <w:pStyle w:val="0"/>
        <w:spacing w:line="340" w:lineRule="exac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＊本認定とは別に、金融機関及び信用保証協会による金融上の審査があります。</w:t>
      </w:r>
    </w:p>
    <w:sectPr>
      <w:pgSz w:w="11906" w:h="16838"/>
      <w:pgMar w:top="426" w:right="851" w:bottom="28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3BE0EA2"/>
    <w:lvl w:ilvl="0" w:tplc="C7B88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0</Words>
  <Characters>857</Characters>
  <Application>JUST Note</Application>
  <Lines>58</Lines>
  <Paragraphs>46</Paragraphs>
  <Company>川西市</Company>
  <CharactersWithSpaces>1698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2012-10-25T03:58:00Z</cp:lastPrinted>
  <dcterms:created xsi:type="dcterms:W3CDTF">2012-10-24T08:09:00Z</dcterms:created>
  <dcterms:modified xsi:type="dcterms:W3CDTF">2020-12-21T02:30:34Z</dcterms:modified>
  <cp:revision>10</cp:revision>
</cp:coreProperties>
</file>