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D1DA0" w:rsidRDefault="009D1DA0" w:rsidP="009D1DA0">
      <w:pPr>
        <w:widowControl/>
        <w:jc w:val="left"/>
        <w:rPr>
          <w:b/>
          <w:sz w:val="24"/>
        </w:rPr>
      </w:pPr>
    </w:p>
    <w:p w:rsidR="009D1DA0" w:rsidRDefault="004E4A78" w:rsidP="00825828">
      <w:pPr>
        <w:widowControl/>
        <w:ind w:firstLineChars="50" w:firstLine="105"/>
        <w:jc w:val="left"/>
        <w:rPr>
          <w:b/>
          <w:sz w:val="24"/>
        </w:rPr>
      </w:pPr>
      <w:r>
        <w:rPr>
          <w:noProof/>
        </w:rPr>
        <w:drawing>
          <wp:inline distT="0" distB="0" distL="0" distR="0">
            <wp:extent cx="6479540" cy="9320562"/>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grayscl/>
                      <a:extLst>
                        <a:ext uri="{28A0092B-C50C-407E-A947-70E740481C1C}">
                          <a14:useLocalDpi xmlns:a14="http://schemas.microsoft.com/office/drawing/2010/main" val="0"/>
                        </a:ext>
                      </a:extLst>
                    </a:blip>
                    <a:srcRect/>
                    <a:stretch>
                      <a:fillRect/>
                    </a:stretch>
                  </pic:blipFill>
                  <pic:spPr bwMode="auto">
                    <a:xfrm>
                      <a:off x="0" y="0"/>
                      <a:ext cx="6479540" cy="9320562"/>
                    </a:xfrm>
                    <a:prstGeom prst="rect">
                      <a:avLst/>
                    </a:prstGeom>
                    <a:noFill/>
                    <a:ln>
                      <a:noFill/>
                    </a:ln>
                  </pic:spPr>
                </pic:pic>
              </a:graphicData>
            </a:graphic>
          </wp:inline>
        </w:drawing>
      </w:r>
    </w:p>
    <w:p w:rsidR="009D1DA0" w:rsidRDefault="009D1DA0" w:rsidP="009D1DA0">
      <w:pPr>
        <w:widowControl/>
        <w:jc w:val="left"/>
        <w:rPr>
          <w:b/>
          <w:sz w:val="24"/>
        </w:rPr>
      </w:pPr>
    </w:p>
    <w:p w:rsidR="009D1DA0" w:rsidRDefault="004E4A78" w:rsidP="009D1DA0">
      <w:pPr>
        <w:widowControl/>
        <w:jc w:val="left"/>
        <w:rPr>
          <w:b/>
          <w:sz w:val="24"/>
        </w:rPr>
      </w:pPr>
      <w:r>
        <w:rPr>
          <w:noProof/>
        </w:rPr>
        <w:drawing>
          <wp:inline distT="0" distB="0" distL="0" distR="0">
            <wp:extent cx="6479540" cy="9320562"/>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grayscl/>
                      <a:extLst>
                        <a:ext uri="{28A0092B-C50C-407E-A947-70E740481C1C}">
                          <a14:useLocalDpi xmlns:a14="http://schemas.microsoft.com/office/drawing/2010/main" val="0"/>
                        </a:ext>
                      </a:extLst>
                    </a:blip>
                    <a:srcRect/>
                    <a:stretch>
                      <a:fillRect/>
                    </a:stretch>
                  </pic:blipFill>
                  <pic:spPr bwMode="auto">
                    <a:xfrm>
                      <a:off x="0" y="0"/>
                      <a:ext cx="6479540" cy="9320562"/>
                    </a:xfrm>
                    <a:prstGeom prst="rect">
                      <a:avLst/>
                    </a:prstGeom>
                    <a:noFill/>
                    <a:ln>
                      <a:noFill/>
                    </a:ln>
                  </pic:spPr>
                </pic:pic>
              </a:graphicData>
            </a:graphic>
          </wp:inline>
        </w:drawing>
      </w:r>
    </w:p>
    <w:p w:rsidR="009D1DA0" w:rsidRDefault="009D1DA0" w:rsidP="009D1DA0">
      <w:pPr>
        <w:widowControl/>
        <w:jc w:val="left"/>
        <w:rPr>
          <w:b/>
          <w:sz w:val="24"/>
        </w:rPr>
      </w:pPr>
    </w:p>
    <w:p w:rsidR="009D1DA0" w:rsidRDefault="004E4A78" w:rsidP="009D1DA0">
      <w:pPr>
        <w:widowControl/>
        <w:jc w:val="left"/>
        <w:rPr>
          <w:b/>
          <w:sz w:val="24"/>
        </w:rPr>
      </w:pPr>
      <w:r>
        <w:rPr>
          <w:noProof/>
        </w:rPr>
        <w:drawing>
          <wp:inline distT="0" distB="0" distL="0" distR="0">
            <wp:extent cx="6479540" cy="9361979"/>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grayscl/>
                      <a:extLst>
                        <a:ext uri="{28A0092B-C50C-407E-A947-70E740481C1C}">
                          <a14:useLocalDpi xmlns:a14="http://schemas.microsoft.com/office/drawing/2010/main" val="0"/>
                        </a:ext>
                      </a:extLst>
                    </a:blip>
                    <a:srcRect/>
                    <a:stretch>
                      <a:fillRect/>
                    </a:stretch>
                  </pic:blipFill>
                  <pic:spPr bwMode="auto">
                    <a:xfrm>
                      <a:off x="0" y="0"/>
                      <a:ext cx="6479540" cy="9361979"/>
                    </a:xfrm>
                    <a:prstGeom prst="rect">
                      <a:avLst/>
                    </a:prstGeom>
                    <a:noFill/>
                    <a:ln>
                      <a:noFill/>
                    </a:ln>
                  </pic:spPr>
                </pic:pic>
              </a:graphicData>
            </a:graphic>
          </wp:inline>
        </w:drawing>
      </w:r>
    </w:p>
    <w:p w:rsidR="009D1DA0" w:rsidRDefault="009D1DA0" w:rsidP="009D1DA0">
      <w:pPr>
        <w:widowControl/>
        <w:jc w:val="left"/>
        <w:rPr>
          <w:b/>
          <w:sz w:val="24"/>
        </w:rPr>
      </w:pPr>
    </w:p>
    <w:p w:rsidR="009D1DA0" w:rsidRDefault="004E4A78" w:rsidP="009D1DA0">
      <w:pPr>
        <w:widowControl/>
        <w:jc w:val="left"/>
        <w:rPr>
          <w:b/>
          <w:sz w:val="24"/>
        </w:rPr>
      </w:pPr>
      <w:r>
        <w:rPr>
          <w:noProof/>
        </w:rPr>
        <w:drawing>
          <wp:inline distT="0" distB="0" distL="0" distR="0">
            <wp:extent cx="6479540" cy="9357519"/>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grayscl/>
                      <a:extLst>
                        <a:ext uri="{28A0092B-C50C-407E-A947-70E740481C1C}">
                          <a14:useLocalDpi xmlns:a14="http://schemas.microsoft.com/office/drawing/2010/main" val="0"/>
                        </a:ext>
                      </a:extLst>
                    </a:blip>
                    <a:srcRect/>
                    <a:stretch>
                      <a:fillRect/>
                    </a:stretch>
                  </pic:blipFill>
                  <pic:spPr bwMode="auto">
                    <a:xfrm>
                      <a:off x="0" y="0"/>
                      <a:ext cx="6479540" cy="9357519"/>
                    </a:xfrm>
                    <a:prstGeom prst="rect">
                      <a:avLst/>
                    </a:prstGeom>
                    <a:noFill/>
                    <a:ln>
                      <a:noFill/>
                    </a:ln>
                  </pic:spPr>
                </pic:pic>
              </a:graphicData>
            </a:graphic>
          </wp:inline>
        </w:drawing>
      </w:r>
    </w:p>
    <w:p w:rsidR="00A65A1E" w:rsidRDefault="00A65A1E" w:rsidP="00E44C30">
      <w:pPr>
        <w:widowControl/>
        <w:jc w:val="left"/>
        <w:rPr>
          <w:b/>
          <w:sz w:val="24"/>
        </w:rPr>
      </w:pPr>
    </w:p>
    <w:p w:rsidR="00A65A1E" w:rsidRDefault="004E4A78" w:rsidP="00E44C30">
      <w:pPr>
        <w:widowControl/>
        <w:jc w:val="left"/>
        <w:rPr>
          <w:b/>
          <w:sz w:val="24"/>
        </w:rPr>
      </w:pPr>
      <w:r>
        <w:rPr>
          <w:noProof/>
        </w:rPr>
        <w:drawing>
          <wp:inline distT="0" distB="0" distL="0" distR="0">
            <wp:extent cx="6479540" cy="9320562"/>
            <wp:effectExtent l="0" t="0" r="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grayscl/>
                      <a:extLst>
                        <a:ext uri="{28A0092B-C50C-407E-A947-70E740481C1C}">
                          <a14:useLocalDpi xmlns:a14="http://schemas.microsoft.com/office/drawing/2010/main" val="0"/>
                        </a:ext>
                      </a:extLst>
                    </a:blip>
                    <a:srcRect/>
                    <a:stretch>
                      <a:fillRect/>
                    </a:stretch>
                  </pic:blipFill>
                  <pic:spPr bwMode="auto">
                    <a:xfrm>
                      <a:off x="0" y="0"/>
                      <a:ext cx="6479540" cy="9320562"/>
                    </a:xfrm>
                    <a:prstGeom prst="rect">
                      <a:avLst/>
                    </a:prstGeom>
                    <a:noFill/>
                    <a:ln>
                      <a:noFill/>
                    </a:ln>
                  </pic:spPr>
                </pic:pic>
              </a:graphicData>
            </a:graphic>
          </wp:inline>
        </w:drawing>
      </w:r>
    </w:p>
    <w:p w:rsidR="00A65A1E" w:rsidRDefault="00A65A1E" w:rsidP="00E44C30">
      <w:pPr>
        <w:widowControl/>
        <w:jc w:val="left"/>
        <w:rPr>
          <w:b/>
          <w:sz w:val="24"/>
        </w:rPr>
      </w:pPr>
    </w:p>
    <w:p w:rsidR="00A65A1E" w:rsidRDefault="004E4A78" w:rsidP="00E44C30">
      <w:pPr>
        <w:widowControl/>
        <w:jc w:val="left"/>
        <w:rPr>
          <w:b/>
          <w:sz w:val="24"/>
        </w:rPr>
      </w:pPr>
      <w:r>
        <w:rPr>
          <w:noProof/>
        </w:rPr>
        <w:drawing>
          <wp:inline distT="0" distB="0" distL="0" distR="0">
            <wp:extent cx="6407691" cy="9282896"/>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grayscl/>
                      <a:extLst>
                        <a:ext uri="{28A0092B-C50C-407E-A947-70E740481C1C}">
                          <a14:useLocalDpi xmlns:a14="http://schemas.microsoft.com/office/drawing/2010/main" val="0"/>
                        </a:ext>
                      </a:extLst>
                    </a:blip>
                    <a:srcRect/>
                    <a:stretch>
                      <a:fillRect/>
                    </a:stretch>
                  </pic:blipFill>
                  <pic:spPr bwMode="auto">
                    <a:xfrm>
                      <a:off x="0" y="0"/>
                      <a:ext cx="6412164" cy="9289377"/>
                    </a:xfrm>
                    <a:prstGeom prst="rect">
                      <a:avLst/>
                    </a:prstGeom>
                    <a:noFill/>
                    <a:ln>
                      <a:noFill/>
                    </a:ln>
                  </pic:spPr>
                </pic:pic>
              </a:graphicData>
            </a:graphic>
          </wp:inline>
        </w:drawing>
      </w:r>
    </w:p>
    <w:p w:rsidR="00A65A1E" w:rsidRDefault="00A65A1E" w:rsidP="00E44C30">
      <w:pPr>
        <w:widowControl/>
        <w:jc w:val="left"/>
        <w:rPr>
          <w:b/>
          <w:sz w:val="24"/>
        </w:rPr>
      </w:pPr>
    </w:p>
    <w:p w:rsidR="00A65A1E" w:rsidRDefault="00C31296" w:rsidP="00E44C30">
      <w:pPr>
        <w:widowControl/>
        <w:jc w:val="left"/>
        <w:rPr>
          <w:b/>
          <w:sz w:val="24"/>
        </w:rPr>
      </w:pPr>
      <w:r>
        <w:rPr>
          <w:noProof/>
        </w:rPr>
        <w:drawing>
          <wp:inline distT="0" distB="0" distL="0" distR="0">
            <wp:extent cx="6412375" cy="9284618"/>
            <wp:effectExtent l="0" t="0" r="762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
                      <a:grayscl/>
                      <a:extLst>
                        <a:ext uri="{28A0092B-C50C-407E-A947-70E740481C1C}">
                          <a14:useLocalDpi xmlns:a14="http://schemas.microsoft.com/office/drawing/2010/main" val="0"/>
                        </a:ext>
                      </a:extLst>
                    </a:blip>
                    <a:srcRect/>
                    <a:stretch>
                      <a:fillRect/>
                    </a:stretch>
                  </pic:blipFill>
                  <pic:spPr bwMode="auto">
                    <a:xfrm>
                      <a:off x="0" y="0"/>
                      <a:ext cx="6418516" cy="9293510"/>
                    </a:xfrm>
                    <a:prstGeom prst="rect">
                      <a:avLst/>
                    </a:prstGeom>
                    <a:noFill/>
                    <a:ln>
                      <a:noFill/>
                    </a:ln>
                  </pic:spPr>
                </pic:pic>
              </a:graphicData>
            </a:graphic>
          </wp:inline>
        </w:drawing>
      </w:r>
    </w:p>
    <w:p w:rsidR="00A65A1E" w:rsidRDefault="00A65A1E" w:rsidP="00E44C30">
      <w:pPr>
        <w:widowControl/>
        <w:jc w:val="left"/>
        <w:rPr>
          <w:b/>
          <w:sz w:val="24"/>
        </w:rPr>
      </w:pPr>
    </w:p>
    <w:p w:rsidR="00DE7713" w:rsidRDefault="00C31296" w:rsidP="00DE7713">
      <w:pPr>
        <w:widowControl/>
        <w:jc w:val="left"/>
        <w:rPr>
          <w:b/>
          <w:sz w:val="24"/>
        </w:rPr>
      </w:pPr>
      <w:r>
        <w:rPr>
          <w:noProof/>
        </w:rPr>
        <w:drawing>
          <wp:inline distT="0" distB="0" distL="0" distR="0">
            <wp:extent cx="6479540" cy="9357519"/>
            <wp:effectExtent l="0" t="0" r="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
                      <a:grayscl/>
                      <a:extLst>
                        <a:ext uri="{28A0092B-C50C-407E-A947-70E740481C1C}">
                          <a14:useLocalDpi xmlns:a14="http://schemas.microsoft.com/office/drawing/2010/main" val="0"/>
                        </a:ext>
                      </a:extLst>
                    </a:blip>
                    <a:srcRect/>
                    <a:stretch>
                      <a:fillRect/>
                    </a:stretch>
                  </pic:blipFill>
                  <pic:spPr bwMode="auto">
                    <a:xfrm>
                      <a:off x="0" y="0"/>
                      <a:ext cx="6479540" cy="9357519"/>
                    </a:xfrm>
                    <a:prstGeom prst="rect">
                      <a:avLst/>
                    </a:prstGeom>
                    <a:noFill/>
                    <a:ln>
                      <a:noFill/>
                    </a:ln>
                  </pic:spPr>
                </pic:pic>
              </a:graphicData>
            </a:graphic>
          </wp:inline>
        </w:drawing>
      </w:r>
    </w:p>
    <w:p w:rsidR="00A65A1E" w:rsidRDefault="00A65A1E" w:rsidP="00DE7713">
      <w:pPr>
        <w:widowControl/>
        <w:jc w:val="left"/>
        <w:rPr>
          <w:noProof/>
        </w:rPr>
      </w:pPr>
    </w:p>
    <w:p w:rsidR="00E44C30" w:rsidRDefault="00C31296" w:rsidP="00DE7713">
      <w:pPr>
        <w:widowControl/>
        <w:jc w:val="left"/>
        <w:rPr>
          <w:noProof/>
        </w:rPr>
      </w:pPr>
      <w:r>
        <w:rPr>
          <w:noProof/>
        </w:rPr>
        <w:drawing>
          <wp:inline distT="0" distB="0" distL="0" distR="0">
            <wp:extent cx="6479540" cy="9332625"/>
            <wp:effectExtent l="0" t="0" r="0" b="1905"/>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a:grayscl/>
                      <a:extLst>
                        <a:ext uri="{28A0092B-C50C-407E-A947-70E740481C1C}">
                          <a14:useLocalDpi xmlns:a14="http://schemas.microsoft.com/office/drawing/2010/main" val="0"/>
                        </a:ext>
                      </a:extLst>
                    </a:blip>
                    <a:srcRect/>
                    <a:stretch>
                      <a:fillRect/>
                    </a:stretch>
                  </pic:blipFill>
                  <pic:spPr bwMode="auto">
                    <a:xfrm>
                      <a:off x="0" y="0"/>
                      <a:ext cx="6479540" cy="9332625"/>
                    </a:xfrm>
                    <a:prstGeom prst="rect">
                      <a:avLst/>
                    </a:prstGeom>
                    <a:noFill/>
                    <a:ln>
                      <a:noFill/>
                    </a:ln>
                  </pic:spPr>
                </pic:pic>
              </a:graphicData>
            </a:graphic>
          </wp:inline>
        </w:drawing>
      </w:r>
    </w:p>
    <w:p w:rsidR="00E44C30" w:rsidRDefault="00E44C30" w:rsidP="00DE7713">
      <w:pPr>
        <w:widowControl/>
        <w:jc w:val="left"/>
        <w:rPr>
          <w:noProof/>
        </w:rPr>
      </w:pPr>
    </w:p>
    <w:p w:rsidR="00E44C30" w:rsidRDefault="00C31296" w:rsidP="00DE7713">
      <w:pPr>
        <w:widowControl/>
        <w:jc w:val="left"/>
        <w:rPr>
          <w:b/>
          <w:sz w:val="24"/>
        </w:rPr>
      </w:pPr>
      <w:r>
        <w:rPr>
          <w:noProof/>
        </w:rPr>
        <w:drawing>
          <wp:inline distT="0" distB="0" distL="0" distR="0">
            <wp:extent cx="6383722" cy="9248172"/>
            <wp:effectExtent l="0" t="0" r="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8">
                      <a:grayscl/>
                      <a:extLst>
                        <a:ext uri="{28A0092B-C50C-407E-A947-70E740481C1C}">
                          <a14:useLocalDpi xmlns:a14="http://schemas.microsoft.com/office/drawing/2010/main" val="0"/>
                        </a:ext>
                      </a:extLst>
                    </a:blip>
                    <a:srcRect/>
                    <a:stretch>
                      <a:fillRect/>
                    </a:stretch>
                  </pic:blipFill>
                  <pic:spPr bwMode="auto">
                    <a:xfrm>
                      <a:off x="0" y="0"/>
                      <a:ext cx="6391574" cy="9259547"/>
                    </a:xfrm>
                    <a:prstGeom prst="rect">
                      <a:avLst/>
                    </a:prstGeom>
                    <a:noFill/>
                    <a:ln>
                      <a:noFill/>
                    </a:ln>
                  </pic:spPr>
                </pic:pic>
              </a:graphicData>
            </a:graphic>
          </wp:inline>
        </w:drawing>
      </w:r>
    </w:p>
    <w:tbl>
      <w:tblPr>
        <w:tblStyle w:val="a4"/>
        <w:tblW w:w="0" w:type="auto"/>
        <w:tblLook w:val="04A0" w:firstRow="1" w:lastRow="0" w:firstColumn="1" w:lastColumn="0" w:noHBand="0" w:noVBand="1"/>
      </w:tblPr>
      <w:tblGrid>
        <w:gridCol w:w="10194"/>
      </w:tblGrid>
      <w:tr w:rsidR="008904C1" w:rsidTr="008469FC">
        <w:tc>
          <w:tcPr>
            <w:tcW w:w="10194" w:type="dxa"/>
            <w:tcBorders>
              <w:top w:val="nil"/>
              <w:left w:val="nil"/>
              <w:bottom w:val="nil"/>
              <w:right w:val="nil"/>
            </w:tcBorders>
            <w:shd w:val="clear" w:color="auto" w:fill="BDD6EE" w:themeFill="accent5" w:themeFillTint="66"/>
          </w:tcPr>
          <w:p w:rsidR="008904C1" w:rsidRPr="008904C1" w:rsidRDefault="008904C1" w:rsidP="008904C1">
            <w:pPr>
              <w:widowControl/>
              <w:ind w:firstLineChars="50" w:firstLine="120"/>
              <w:jc w:val="left"/>
              <w:rPr>
                <w:rFonts w:asciiTheme="majorEastAsia" w:eastAsiaTheme="majorEastAsia" w:hAnsiTheme="majorEastAsia"/>
                <w:sz w:val="24"/>
              </w:rPr>
            </w:pPr>
            <w:r>
              <w:rPr>
                <w:rFonts w:asciiTheme="majorEastAsia" w:eastAsiaTheme="majorEastAsia" w:hAnsiTheme="majorEastAsia" w:hint="eastAsia"/>
                <w:sz w:val="24"/>
                <w:szCs w:val="26"/>
              </w:rPr>
              <w:lastRenderedPageBreak/>
              <w:t>5</w:t>
            </w:r>
            <w:r>
              <w:rPr>
                <w:rFonts w:asciiTheme="majorEastAsia" w:eastAsiaTheme="majorEastAsia" w:hAnsiTheme="majorEastAsia"/>
                <w:sz w:val="24"/>
                <w:szCs w:val="26"/>
              </w:rPr>
              <w:t>.3</w:t>
            </w:r>
            <w:r w:rsidRPr="001D6B2C">
              <w:rPr>
                <w:rFonts w:asciiTheme="majorEastAsia" w:eastAsiaTheme="majorEastAsia" w:hAnsiTheme="majorEastAsia"/>
                <w:sz w:val="24"/>
                <w:szCs w:val="26"/>
              </w:rPr>
              <w:t xml:space="preserve">　</w:t>
            </w:r>
            <w:r w:rsidR="002A5AF5">
              <w:rPr>
                <w:rFonts w:asciiTheme="majorEastAsia" w:eastAsiaTheme="majorEastAsia" w:hAnsiTheme="majorEastAsia"/>
                <w:sz w:val="24"/>
                <w:szCs w:val="26"/>
              </w:rPr>
              <w:t>平成29年度</w:t>
            </w:r>
            <w:r w:rsidR="00D900A4">
              <w:rPr>
                <w:rFonts w:asciiTheme="majorEastAsia" w:eastAsiaTheme="majorEastAsia" w:hAnsiTheme="majorEastAsia" w:hint="eastAsia"/>
                <w:sz w:val="24"/>
                <w:szCs w:val="26"/>
              </w:rPr>
              <w:t xml:space="preserve"> </w:t>
            </w:r>
            <w:r w:rsidR="002A5AF5">
              <w:rPr>
                <w:rFonts w:asciiTheme="majorEastAsia" w:eastAsiaTheme="majorEastAsia" w:hAnsiTheme="majorEastAsia"/>
                <w:sz w:val="24"/>
                <w:szCs w:val="26"/>
              </w:rPr>
              <w:t>介護報酬改定に関するＱ＆Ａ</w:t>
            </w:r>
          </w:p>
        </w:tc>
      </w:tr>
    </w:tbl>
    <w:p w:rsidR="008904C1" w:rsidRDefault="00C31296" w:rsidP="008904C1">
      <w:pPr>
        <w:widowControl/>
        <w:jc w:val="left"/>
        <w:rPr>
          <w:b/>
          <w:sz w:val="24"/>
        </w:rPr>
      </w:pPr>
      <w:r>
        <w:rPr>
          <w:noProof/>
        </w:rPr>
        <w:drawing>
          <wp:inline distT="0" distB="0" distL="0" distR="0">
            <wp:extent cx="6479540" cy="9317359"/>
            <wp:effectExtent l="0" t="0" r="0"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9">
                      <a:grayscl/>
                      <a:extLst>
                        <a:ext uri="{28A0092B-C50C-407E-A947-70E740481C1C}">
                          <a14:useLocalDpi xmlns:a14="http://schemas.microsoft.com/office/drawing/2010/main" val="0"/>
                        </a:ext>
                      </a:extLst>
                    </a:blip>
                    <a:srcRect/>
                    <a:stretch>
                      <a:fillRect/>
                    </a:stretch>
                  </pic:blipFill>
                  <pic:spPr bwMode="auto">
                    <a:xfrm>
                      <a:off x="0" y="0"/>
                      <a:ext cx="6479540" cy="9317359"/>
                    </a:xfrm>
                    <a:prstGeom prst="rect">
                      <a:avLst/>
                    </a:prstGeom>
                    <a:noFill/>
                    <a:ln>
                      <a:noFill/>
                    </a:ln>
                  </pic:spPr>
                </pic:pic>
              </a:graphicData>
            </a:graphic>
          </wp:inline>
        </w:drawing>
      </w:r>
    </w:p>
    <w:p w:rsidR="008904C1" w:rsidRDefault="008904C1" w:rsidP="008904C1">
      <w:pPr>
        <w:widowControl/>
        <w:jc w:val="left"/>
        <w:rPr>
          <w:b/>
          <w:sz w:val="24"/>
        </w:rPr>
      </w:pPr>
    </w:p>
    <w:p w:rsidR="008904C1" w:rsidRDefault="00C31296" w:rsidP="008904C1">
      <w:pPr>
        <w:widowControl/>
        <w:jc w:val="left"/>
        <w:rPr>
          <w:b/>
          <w:sz w:val="24"/>
        </w:rPr>
      </w:pPr>
      <w:r>
        <w:rPr>
          <w:noProof/>
        </w:rPr>
        <w:drawing>
          <wp:inline distT="0" distB="0" distL="0" distR="0">
            <wp:extent cx="6479540" cy="9366394"/>
            <wp:effectExtent l="0" t="0" r="0" b="635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0">
                      <a:grayscl/>
                      <a:extLst>
                        <a:ext uri="{28A0092B-C50C-407E-A947-70E740481C1C}">
                          <a14:useLocalDpi xmlns:a14="http://schemas.microsoft.com/office/drawing/2010/main" val="0"/>
                        </a:ext>
                      </a:extLst>
                    </a:blip>
                    <a:srcRect/>
                    <a:stretch>
                      <a:fillRect/>
                    </a:stretch>
                  </pic:blipFill>
                  <pic:spPr bwMode="auto">
                    <a:xfrm>
                      <a:off x="0" y="0"/>
                      <a:ext cx="6479540" cy="9366394"/>
                    </a:xfrm>
                    <a:prstGeom prst="rect">
                      <a:avLst/>
                    </a:prstGeom>
                    <a:noFill/>
                    <a:ln>
                      <a:noFill/>
                    </a:ln>
                  </pic:spPr>
                </pic:pic>
              </a:graphicData>
            </a:graphic>
          </wp:inline>
        </w:drawing>
      </w:r>
    </w:p>
    <w:p w:rsidR="008904C1" w:rsidRDefault="008904C1" w:rsidP="008904C1">
      <w:pPr>
        <w:widowControl/>
        <w:jc w:val="left"/>
        <w:rPr>
          <w:b/>
          <w:sz w:val="24"/>
        </w:rPr>
      </w:pPr>
    </w:p>
    <w:p w:rsidR="008904C1" w:rsidRDefault="00C31296" w:rsidP="002A5AF5">
      <w:pPr>
        <w:widowControl/>
        <w:jc w:val="left"/>
        <w:rPr>
          <w:b/>
          <w:sz w:val="24"/>
        </w:rPr>
      </w:pPr>
      <w:r>
        <w:rPr>
          <w:noProof/>
        </w:rPr>
        <w:drawing>
          <wp:inline distT="0" distB="0" distL="0" distR="0">
            <wp:extent cx="6479540" cy="9332625"/>
            <wp:effectExtent l="0" t="0" r="0" b="1905"/>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1">
                      <a:grayscl/>
                      <a:extLst>
                        <a:ext uri="{28A0092B-C50C-407E-A947-70E740481C1C}">
                          <a14:useLocalDpi xmlns:a14="http://schemas.microsoft.com/office/drawing/2010/main" val="0"/>
                        </a:ext>
                      </a:extLst>
                    </a:blip>
                    <a:srcRect/>
                    <a:stretch>
                      <a:fillRect/>
                    </a:stretch>
                  </pic:blipFill>
                  <pic:spPr bwMode="auto">
                    <a:xfrm>
                      <a:off x="0" y="0"/>
                      <a:ext cx="6479540" cy="9332625"/>
                    </a:xfrm>
                    <a:prstGeom prst="rect">
                      <a:avLst/>
                    </a:prstGeom>
                    <a:noFill/>
                    <a:ln>
                      <a:noFill/>
                    </a:ln>
                  </pic:spPr>
                </pic:pic>
              </a:graphicData>
            </a:graphic>
          </wp:inline>
        </w:drawing>
      </w:r>
    </w:p>
    <w:p w:rsidR="002A5AF5" w:rsidRDefault="002A5AF5" w:rsidP="002A5AF5">
      <w:pPr>
        <w:widowControl/>
        <w:jc w:val="left"/>
        <w:rPr>
          <w:b/>
          <w:sz w:val="24"/>
        </w:rPr>
      </w:pPr>
    </w:p>
    <w:p w:rsidR="002A5AF5" w:rsidRDefault="00C31296" w:rsidP="002A5AF5">
      <w:pPr>
        <w:widowControl/>
        <w:jc w:val="left"/>
        <w:rPr>
          <w:b/>
          <w:sz w:val="24"/>
        </w:rPr>
      </w:pPr>
      <w:r>
        <w:rPr>
          <w:noProof/>
        </w:rPr>
        <w:drawing>
          <wp:inline distT="0" distB="0" distL="0" distR="0">
            <wp:extent cx="6479540" cy="9357519"/>
            <wp:effectExtent l="0" t="0" r="0" b="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2">
                      <a:grayscl/>
                      <a:extLst>
                        <a:ext uri="{28A0092B-C50C-407E-A947-70E740481C1C}">
                          <a14:useLocalDpi xmlns:a14="http://schemas.microsoft.com/office/drawing/2010/main" val="0"/>
                        </a:ext>
                      </a:extLst>
                    </a:blip>
                    <a:srcRect/>
                    <a:stretch>
                      <a:fillRect/>
                    </a:stretch>
                  </pic:blipFill>
                  <pic:spPr bwMode="auto">
                    <a:xfrm>
                      <a:off x="0" y="0"/>
                      <a:ext cx="6479540" cy="9357519"/>
                    </a:xfrm>
                    <a:prstGeom prst="rect">
                      <a:avLst/>
                    </a:prstGeom>
                    <a:noFill/>
                    <a:ln>
                      <a:noFill/>
                    </a:ln>
                  </pic:spPr>
                </pic:pic>
              </a:graphicData>
            </a:graphic>
          </wp:inline>
        </w:drawing>
      </w:r>
    </w:p>
    <w:tbl>
      <w:tblPr>
        <w:tblStyle w:val="a4"/>
        <w:tblW w:w="0" w:type="auto"/>
        <w:tblLook w:val="04A0" w:firstRow="1" w:lastRow="0" w:firstColumn="1" w:lastColumn="0" w:noHBand="0" w:noVBand="1"/>
      </w:tblPr>
      <w:tblGrid>
        <w:gridCol w:w="10194"/>
      </w:tblGrid>
      <w:tr w:rsidR="00BD210C" w:rsidTr="008469FC">
        <w:tc>
          <w:tcPr>
            <w:tcW w:w="10194" w:type="dxa"/>
            <w:tcBorders>
              <w:top w:val="nil"/>
              <w:left w:val="nil"/>
              <w:bottom w:val="nil"/>
              <w:right w:val="nil"/>
            </w:tcBorders>
            <w:shd w:val="clear" w:color="auto" w:fill="BDD6EE" w:themeFill="accent5" w:themeFillTint="66"/>
          </w:tcPr>
          <w:p w:rsidR="00BD210C" w:rsidRPr="009B5869" w:rsidRDefault="00BD210C" w:rsidP="008469FC">
            <w:pPr>
              <w:ind w:firstLineChars="100" w:firstLine="240"/>
              <w:rPr>
                <w:rFonts w:asciiTheme="majorEastAsia" w:eastAsiaTheme="majorEastAsia" w:hAnsiTheme="majorEastAsia"/>
                <w:sz w:val="26"/>
                <w:szCs w:val="26"/>
              </w:rPr>
            </w:pPr>
            <w:r>
              <w:rPr>
                <w:rFonts w:asciiTheme="majorEastAsia" w:eastAsiaTheme="majorEastAsia" w:hAnsiTheme="majorEastAsia" w:hint="eastAsia"/>
                <w:sz w:val="24"/>
                <w:szCs w:val="26"/>
              </w:rPr>
              <w:lastRenderedPageBreak/>
              <w:t>5</w:t>
            </w:r>
            <w:r>
              <w:rPr>
                <w:rFonts w:asciiTheme="majorEastAsia" w:eastAsiaTheme="majorEastAsia" w:hAnsiTheme="majorEastAsia"/>
                <w:sz w:val="24"/>
                <w:szCs w:val="26"/>
              </w:rPr>
              <w:t>.4</w:t>
            </w:r>
            <w:r w:rsidRPr="001D6B2C">
              <w:rPr>
                <w:rFonts w:asciiTheme="majorEastAsia" w:eastAsiaTheme="majorEastAsia" w:hAnsiTheme="majorEastAsia"/>
                <w:sz w:val="24"/>
                <w:szCs w:val="26"/>
              </w:rPr>
              <w:t xml:space="preserve">　</w:t>
            </w:r>
            <w:r>
              <w:rPr>
                <w:rFonts w:asciiTheme="majorEastAsia" w:eastAsiaTheme="majorEastAsia" w:hAnsiTheme="majorEastAsia"/>
                <w:sz w:val="24"/>
                <w:szCs w:val="26"/>
              </w:rPr>
              <w:t xml:space="preserve">平成27年度 </w:t>
            </w:r>
            <w:r>
              <w:rPr>
                <w:rFonts w:asciiTheme="majorEastAsia" w:eastAsiaTheme="majorEastAsia" w:hAnsiTheme="majorEastAsia" w:hint="eastAsia"/>
                <w:sz w:val="24"/>
                <w:szCs w:val="26"/>
              </w:rPr>
              <w:t>介護職員処遇改善加算</w:t>
            </w:r>
            <w:r>
              <w:rPr>
                <w:rFonts w:asciiTheme="majorEastAsia" w:eastAsiaTheme="majorEastAsia" w:hAnsiTheme="majorEastAsia"/>
                <w:sz w:val="24"/>
                <w:szCs w:val="26"/>
              </w:rPr>
              <w:t>に関するＱ＆Ａ（抜粋）</w:t>
            </w:r>
          </w:p>
        </w:tc>
      </w:tr>
    </w:tbl>
    <w:p w:rsidR="00076189" w:rsidRDefault="00C31296" w:rsidP="002A5AF5">
      <w:pPr>
        <w:widowControl/>
        <w:jc w:val="left"/>
        <w:rPr>
          <w:b/>
          <w:sz w:val="24"/>
        </w:rPr>
      </w:pPr>
      <w:r>
        <w:rPr>
          <w:noProof/>
        </w:rPr>
        <w:drawing>
          <wp:inline distT="0" distB="0" distL="0" distR="0">
            <wp:extent cx="6479540" cy="9337777"/>
            <wp:effectExtent l="0" t="0" r="0" b="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3">
                      <a:grayscl/>
                      <a:extLst>
                        <a:ext uri="{28A0092B-C50C-407E-A947-70E740481C1C}">
                          <a14:useLocalDpi xmlns:a14="http://schemas.microsoft.com/office/drawing/2010/main" val="0"/>
                        </a:ext>
                      </a:extLst>
                    </a:blip>
                    <a:srcRect/>
                    <a:stretch>
                      <a:fillRect/>
                    </a:stretch>
                  </pic:blipFill>
                  <pic:spPr bwMode="auto">
                    <a:xfrm>
                      <a:off x="0" y="0"/>
                      <a:ext cx="6479540" cy="9337777"/>
                    </a:xfrm>
                    <a:prstGeom prst="rect">
                      <a:avLst/>
                    </a:prstGeom>
                    <a:noFill/>
                    <a:ln>
                      <a:noFill/>
                    </a:ln>
                  </pic:spPr>
                </pic:pic>
              </a:graphicData>
            </a:graphic>
          </wp:inline>
        </w:drawing>
      </w:r>
    </w:p>
    <w:p w:rsidR="00076189" w:rsidRDefault="00076189" w:rsidP="002A5AF5">
      <w:pPr>
        <w:widowControl/>
        <w:jc w:val="left"/>
        <w:rPr>
          <w:b/>
          <w:sz w:val="24"/>
        </w:rPr>
      </w:pPr>
    </w:p>
    <w:p w:rsidR="00BD210C" w:rsidRDefault="00C31296" w:rsidP="002A5AF5">
      <w:pPr>
        <w:widowControl/>
        <w:jc w:val="left"/>
        <w:rPr>
          <w:b/>
          <w:sz w:val="24"/>
        </w:rPr>
      </w:pPr>
      <w:r>
        <w:rPr>
          <w:noProof/>
        </w:rPr>
        <w:drawing>
          <wp:inline distT="0" distB="0" distL="0" distR="0">
            <wp:extent cx="6479540" cy="9341477"/>
            <wp:effectExtent l="0" t="0" r="0" b="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4">
                      <a:grayscl/>
                      <a:extLst>
                        <a:ext uri="{28A0092B-C50C-407E-A947-70E740481C1C}">
                          <a14:useLocalDpi xmlns:a14="http://schemas.microsoft.com/office/drawing/2010/main" val="0"/>
                        </a:ext>
                      </a:extLst>
                    </a:blip>
                    <a:srcRect/>
                    <a:stretch>
                      <a:fillRect/>
                    </a:stretch>
                  </pic:blipFill>
                  <pic:spPr bwMode="auto">
                    <a:xfrm>
                      <a:off x="0" y="0"/>
                      <a:ext cx="6479540" cy="9341477"/>
                    </a:xfrm>
                    <a:prstGeom prst="rect">
                      <a:avLst/>
                    </a:prstGeom>
                    <a:noFill/>
                    <a:ln>
                      <a:noFill/>
                    </a:ln>
                  </pic:spPr>
                </pic:pic>
              </a:graphicData>
            </a:graphic>
          </wp:inline>
        </w:drawing>
      </w:r>
    </w:p>
    <w:p w:rsidR="00BD210C" w:rsidRDefault="00BD210C" w:rsidP="002A5AF5">
      <w:pPr>
        <w:widowControl/>
        <w:jc w:val="left"/>
        <w:rPr>
          <w:b/>
          <w:sz w:val="24"/>
        </w:rPr>
      </w:pPr>
    </w:p>
    <w:p w:rsidR="00BD210C" w:rsidRDefault="00C31296" w:rsidP="002A5AF5">
      <w:pPr>
        <w:widowControl/>
        <w:jc w:val="left"/>
        <w:rPr>
          <w:b/>
          <w:sz w:val="24"/>
        </w:rPr>
      </w:pPr>
      <w:r>
        <w:rPr>
          <w:noProof/>
        </w:rPr>
        <w:drawing>
          <wp:inline distT="0" distB="0" distL="0" distR="0">
            <wp:extent cx="6479540" cy="9320562"/>
            <wp:effectExtent l="0" t="0" r="0" b="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5">
                      <a:grayscl/>
                      <a:extLst>
                        <a:ext uri="{28A0092B-C50C-407E-A947-70E740481C1C}">
                          <a14:useLocalDpi xmlns:a14="http://schemas.microsoft.com/office/drawing/2010/main" val="0"/>
                        </a:ext>
                      </a:extLst>
                    </a:blip>
                    <a:srcRect/>
                    <a:stretch>
                      <a:fillRect/>
                    </a:stretch>
                  </pic:blipFill>
                  <pic:spPr bwMode="auto">
                    <a:xfrm>
                      <a:off x="0" y="0"/>
                      <a:ext cx="6479540" cy="9320562"/>
                    </a:xfrm>
                    <a:prstGeom prst="rect">
                      <a:avLst/>
                    </a:prstGeom>
                    <a:noFill/>
                    <a:ln>
                      <a:noFill/>
                    </a:ln>
                  </pic:spPr>
                </pic:pic>
              </a:graphicData>
            </a:graphic>
          </wp:inline>
        </w:drawing>
      </w:r>
    </w:p>
    <w:p w:rsidR="00BD210C" w:rsidRDefault="00BD210C" w:rsidP="002A5AF5">
      <w:pPr>
        <w:widowControl/>
        <w:jc w:val="left"/>
        <w:rPr>
          <w:b/>
          <w:sz w:val="24"/>
        </w:rPr>
      </w:pPr>
    </w:p>
    <w:p w:rsidR="00BD210C" w:rsidRDefault="00C31296" w:rsidP="002A5AF5">
      <w:pPr>
        <w:widowControl/>
        <w:jc w:val="left"/>
        <w:rPr>
          <w:b/>
          <w:sz w:val="24"/>
        </w:rPr>
      </w:pPr>
      <w:r>
        <w:rPr>
          <w:noProof/>
        </w:rPr>
        <w:drawing>
          <wp:inline distT="0" distB="0" distL="0" distR="0">
            <wp:extent cx="6479540" cy="9353582"/>
            <wp:effectExtent l="0" t="0" r="0" b="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6">
                      <a:grayscl/>
                      <a:extLst>
                        <a:ext uri="{28A0092B-C50C-407E-A947-70E740481C1C}">
                          <a14:useLocalDpi xmlns:a14="http://schemas.microsoft.com/office/drawing/2010/main" val="0"/>
                        </a:ext>
                      </a:extLst>
                    </a:blip>
                    <a:srcRect/>
                    <a:stretch>
                      <a:fillRect/>
                    </a:stretch>
                  </pic:blipFill>
                  <pic:spPr bwMode="auto">
                    <a:xfrm>
                      <a:off x="0" y="0"/>
                      <a:ext cx="6479540" cy="9353582"/>
                    </a:xfrm>
                    <a:prstGeom prst="rect">
                      <a:avLst/>
                    </a:prstGeom>
                    <a:noFill/>
                    <a:ln>
                      <a:noFill/>
                    </a:ln>
                  </pic:spPr>
                </pic:pic>
              </a:graphicData>
            </a:graphic>
          </wp:inline>
        </w:drawing>
      </w:r>
    </w:p>
    <w:p w:rsidR="00BD210C" w:rsidRDefault="00BD210C" w:rsidP="002A5AF5">
      <w:pPr>
        <w:widowControl/>
        <w:jc w:val="left"/>
        <w:rPr>
          <w:b/>
          <w:sz w:val="24"/>
        </w:rPr>
      </w:pPr>
    </w:p>
    <w:p w:rsidR="00BD210C" w:rsidRDefault="00C31296" w:rsidP="002A5AF5">
      <w:pPr>
        <w:widowControl/>
        <w:jc w:val="left"/>
        <w:rPr>
          <w:b/>
          <w:sz w:val="24"/>
        </w:rPr>
      </w:pPr>
      <w:r>
        <w:rPr>
          <w:noProof/>
        </w:rPr>
        <w:drawing>
          <wp:inline distT="0" distB="0" distL="0" distR="0">
            <wp:extent cx="6479540" cy="9369678"/>
            <wp:effectExtent l="0" t="0" r="0" b="3175"/>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7">
                      <a:grayscl/>
                      <a:extLst>
                        <a:ext uri="{28A0092B-C50C-407E-A947-70E740481C1C}">
                          <a14:useLocalDpi xmlns:a14="http://schemas.microsoft.com/office/drawing/2010/main" val="0"/>
                        </a:ext>
                      </a:extLst>
                    </a:blip>
                    <a:srcRect/>
                    <a:stretch>
                      <a:fillRect/>
                    </a:stretch>
                  </pic:blipFill>
                  <pic:spPr bwMode="auto">
                    <a:xfrm>
                      <a:off x="0" y="0"/>
                      <a:ext cx="6479540" cy="9369678"/>
                    </a:xfrm>
                    <a:prstGeom prst="rect">
                      <a:avLst/>
                    </a:prstGeom>
                    <a:noFill/>
                    <a:ln>
                      <a:noFill/>
                    </a:ln>
                  </pic:spPr>
                </pic:pic>
              </a:graphicData>
            </a:graphic>
          </wp:inline>
        </w:drawing>
      </w:r>
    </w:p>
    <w:p w:rsidR="00BD210C" w:rsidRDefault="00BD210C" w:rsidP="002A5AF5">
      <w:pPr>
        <w:widowControl/>
        <w:jc w:val="left"/>
        <w:rPr>
          <w:b/>
          <w:sz w:val="24"/>
        </w:rPr>
      </w:pPr>
    </w:p>
    <w:p w:rsidR="00BD210C" w:rsidRDefault="00CA7EFD" w:rsidP="002A5AF5">
      <w:pPr>
        <w:widowControl/>
        <w:jc w:val="left"/>
        <w:rPr>
          <w:b/>
          <w:sz w:val="24"/>
        </w:rPr>
      </w:pPr>
      <w:r>
        <w:rPr>
          <w:noProof/>
        </w:rPr>
        <w:drawing>
          <wp:inline distT="0" distB="0" distL="0" distR="0">
            <wp:extent cx="6479540" cy="9344719"/>
            <wp:effectExtent l="0" t="0" r="0" b="889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8">
                      <a:grayscl/>
                      <a:extLst>
                        <a:ext uri="{28A0092B-C50C-407E-A947-70E740481C1C}">
                          <a14:useLocalDpi xmlns:a14="http://schemas.microsoft.com/office/drawing/2010/main" val="0"/>
                        </a:ext>
                      </a:extLst>
                    </a:blip>
                    <a:srcRect/>
                    <a:stretch>
                      <a:fillRect/>
                    </a:stretch>
                  </pic:blipFill>
                  <pic:spPr bwMode="auto">
                    <a:xfrm>
                      <a:off x="0" y="0"/>
                      <a:ext cx="6479540" cy="9344719"/>
                    </a:xfrm>
                    <a:prstGeom prst="rect">
                      <a:avLst/>
                    </a:prstGeom>
                    <a:noFill/>
                    <a:ln>
                      <a:noFill/>
                    </a:ln>
                  </pic:spPr>
                </pic:pic>
              </a:graphicData>
            </a:graphic>
          </wp:inline>
        </w:drawing>
      </w:r>
    </w:p>
    <w:p w:rsidR="00BD210C" w:rsidRDefault="00BD210C" w:rsidP="002A5AF5">
      <w:pPr>
        <w:widowControl/>
        <w:jc w:val="left"/>
        <w:rPr>
          <w:b/>
          <w:sz w:val="24"/>
        </w:rPr>
      </w:pPr>
    </w:p>
    <w:p w:rsidR="00BD210C" w:rsidRDefault="00CA7EFD" w:rsidP="002A5AF5">
      <w:pPr>
        <w:widowControl/>
        <w:jc w:val="left"/>
        <w:rPr>
          <w:b/>
          <w:sz w:val="24"/>
        </w:rPr>
      </w:pPr>
      <w:r>
        <w:rPr>
          <w:noProof/>
        </w:rPr>
        <w:drawing>
          <wp:inline distT="0" distB="0" distL="0" distR="0">
            <wp:extent cx="6479540" cy="9315853"/>
            <wp:effectExtent l="0" t="0" r="0" b="0"/>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9">
                      <a:grayscl/>
                      <a:extLst>
                        <a:ext uri="{28A0092B-C50C-407E-A947-70E740481C1C}">
                          <a14:useLocalDpi xmlns:a14="http://schemas.microsoft.com/office/drawing/2010/main" val="0"/>
                        </a:ext>
                      </a:extLst>
                    </a:blip>
                    <a:srcRect/>
                    <a:stretch>
                      <a:fillRect/>
                    </a:stretch>
                  </pic:blipFill>
                  <pic:spPr bwMode="auto">
                    <a:xfrm>
                      <a:off x="0" y="0"/>
                      <a:ext cx="6479540" cy="9315853"/>
                    </a:xfrm>
                    <a:prstGeom prst="rect">
                      <a:avLst/>
                    </a:prstGeom>
                    <a:noFill/>
                    <a:ln>
                      <a:noFill/>
                    </a:ln>
                  </pic:spPr>
                </pic:pic>
              </a:graphicData>
            </a:graphic>
          </wp:inline>
        </w:drawing>
      </w:r>
    </w:p>
    <w:p w:rsidR="00BD210C" w:rsidRDefault="00BD210C" w:rsidP="002A5AF5">
      <w:pPr>
        <w:widowControl/>
        <w:jc w:val="left"/>
        <w:rPr>
          <w:b/>
          <w:sz w:val="24"/>
        </w:rPr>
      </w:pPr>
    </w:p>
    <w:p w:rsidR="00BD210C" w:rsidRDefault="00CA7EFD" w:rsidP="002A5AF5">
      <w:pPr>
        <w:widowControl/>
        <w:jc w:val="left"/>
        <w:rPr>
          <w:b/>
          <w:sz w:val="24"/>
        </w:rPr>
      </w:pPr>
      <w:r>
        <w:rPr>
          <w:noProof/>
        </w:rPr>
        <w:drawing>
          <wp:inline distT="0" distB="0" distL="0" distR="0">
            <wp:extent cx="6479540" cy="9344719"/>
            <wp:effectExtent l="0" t="0" r="0" b="8890"/>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0">
                      <a:grayscl/>
                      <a:extLst>
                        <a:ext uri="{28A0092B-C50C-407E-A947-70E740481C1C}">
                          <a14:useLocalDpi xmlns:a14="http://schemas.microsoft.com/office/drawing/2010/main" val="0"/>
                        </a:ext>
                      </a:extLst>
                    </a:blip>
                    <a:srcRect/>
                    <a:stretch>
                      <a:fillRect/>
                    </a:stretch>
                  </pic:blipFill>
                  <pic:spPr bwMode="auto">
                    <a:xfrm>
                      <a:off x="0" y="0"/>
                      <a:ext cx="6479540" cy="9344719"/>
                    </a:xfrm>
                    <a:prstGeom prst="rect">
                      <a:avLst/>
                    </a:prstGeom>
                    <a:noFill/>
                    <a:ln>
                      <a:noFill/>
                    </a:ln>
                  </pic:spPr>
                </pic:pic>
              </a:graphicData>
            </a:graphic>
          </wp:inline>
        </w:drawing>
      </w:r>
    </w:p>
    <w:p w:rsidR="00076189" w:rsidRDefault="00076189" w:rsidP="002A5AF5">
      <w:pPr>
        <w:widowControl/>
        <w:jc w:val="left"/>
        <w:rPr>
          <w:b/>
          <w:sz w:val="24"/>
        </w:rPr>
      </w:pPr>
    </w:p>
    <w:p w:rsidR="00BD210C" w:rsidRDefault="00CA7EFD" w:rsidP="002A5AF5">
      <w:pPr>
        <w:widowControl/>
        <w:jc w:val="left"/>
        <w:rPr>
          <w:b/>
          <w:sz w:val="24"/>
        </w:rPr>
      </w:pPr>
      <w:r>
        <w:rPr>
          <w:noProof/>
        </w:rPr>
        <w:drawing>
          <wp:inline distT="0" distB="0" distL="0" distR="0">
            <wp:extent cx="6479540" cy="9320562"/>
            <wp:effectExtent l="0" t="0" r="0" b="0"/>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1">
                      <a:grayscl/>
                      <a:extLst>
                        <a:ext uri="{28A0092B-C50C-407E-A947-70E740481C1C}">
                          <a14:useLocalDpi xmlns:a14="http://schemas.microsoft.com/office/drawing/2010/main" val="0"/>
                        </a:ext>
                      </a:extLst>
                    </a:blip>
                    <a:srcRect/>
                    <a:stretch>
                      <a:fillRect/>
                    </a:stretch>
                  </pic:blipFill>
                  <pic:spPr bwMode="auto">
                    <a:xfrm>
                      <a:off x="0" y="0"/>
                      <a:ext cx="6479540" cy="9320562"/>
                    </a:xfrm>
                    <a:prstGeom prst="rect">
                      <a:avLst/>
                    </a:prstGeom>
                    <a:noFill/>
                    <a:ln>
                      <a:noFill/>
                    </a:ln>
                  </pic:spPr>
                </pic:pic>
              </a:graphicData>
            </a:graphic>
          </wp:inline>
        </w:drawing>
      </w:r>
    </w:p>
    <w:p w:rsidR="00BD210C" w:rsidRDefault="00BD210C" w:rsidP="002A5AF5">
      <w:pPr>
        <w:widowControl/>
        <w:jc w:val="left"/>
        <w:rPr>
          <w:b/>
          <w:sz w:val="24"/>
        </w:rPr>
      </w:pPr>
    </w:p>
    <w:p w:rsidR="00BD210C" w:rsidRDefault="00CA7EFD" w:rsidP="002A5AF5">
      <w:pPr>
        <w:widowControl/>
        <w:jc w:val="left"/>
        <w:rPr>
          <w:b/>
          <w:sz w:val="24"/>
        </w:rPr>
      </w:pPr>
      <w:r>
        <w:rPr>
          <w:noProof/>
        </w:rPr>
        <w:drawing>
          <wp:inline distT="0" distB="0" distL="0" distR="0">
            <wp:extent cx="6479540" cy="9308530"/>
            <wp:effectExtent l="0" t="0" r="0" b="6985"/>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2">
                      <a:grayscl/>
                      <a:extLst>
                        <a:ext uri="{28A0092B-C50C-407E-A947-70E740481C1C}">
                          <a14:useLocalDpi xmlns:a14="http://schemas.microsoft.com/office/drawing/2010/main" val="0"/>
                        </a:ext>
                      </a:extLst>
                    </a:blip>
                    <a:srcRect/>
                    <a:stretch>
                      <a:fillRect/>
                    </a:stretch>
                  </pic:blipFill>
                  <pic:spPr bwMode="auto">
                    <a:xfrm>
                      <a:off x="0" y="0"/>
                      <a:ext cx="6479540" cy="9308530"/>
                    </a:xfrm>
                    <a:prstGeom prst="rect">
                      <a:avLst/>
                    </a:prstGeom>
                    <a:noFill/>
                    <a:ln>
                      <a:noFill/>
                    </a:ln>
                  </pic:spPr>
                </pic:pic>
              </a:graphicData>
            </a:graphic>
          </wp:inline>
        </w:drawing>
      </w:r>
    </w:p>
    <w:tbl>
      <w:tblPr>
        <w:tblStyle w:val="a4"/>
        <w:tblW w:w="0" w:type="auto"/>
        <w:tblLook w:val="04A0" w:firstRow="1" w:lastRow="0" w:firstColumn="1" w:lastColumn="0" w:noHBand="0" w:noVBand="1"/>
      </w:tblPr>
      <w:tblGrid>
        <w:gridCol w:w="10194"/>
      </w:tblGrid>
      <w:tr w:rsidR="00BD210C" w:rsidTr="008469FC">
        <w:tc>
          <w:tcPr>
            <w:tcW w:w="10194" w:type="dxa"/>
            <w:tcBorders>
              <w:top w:val="nil"/>
              <w:left w:val="nil"/>
              <w:bottom w:val="nil"/>
              <w:right w:val="nil"/>
            </w:tcBorders>
            <w:shd w:val="clear" w:color="auto" w:fill="BDD6EE" w:themeFill="accent5" w:themeFillTint="66"/>
          </w:tcPr>
          <w:p w:rsidR="00BD210C" w:rsidRPr="009B5869" w:rsidRDefault="00BD210C" w:rsidP="008469FC">
            <w:pPr>
              <w:ind w:firstLineChars="100" w:firstLine="240"/>
              <w:rPr>
                <w:rFonts w:asciiTheme="majorEastAsia" w:eastAsiaTheme="majorEastAsia" w:hAnsiTheme="majorEastAsia"/>
                <w:sz w:val="26"/>
                <w:szCs w:val="26"/>
              </w:rPr>
            </w:pPr>
            <w:r>
              <w:rPr>
                <w:rFonts w:asciiTheme="majorEastAsia" w:eastAsiaTheme="majorEastAsia" w:hAnsiTheme="majorEastAsia" w:hint="eastAsia"/>
                <w:sz w:val="24"/>
                <w:szCs w:val="26"/>
              </w:rPr>
              <w:lastRenderedPageBreak/>
              <w:t>5</w:t>
            </w:r>
            <w:r>
              <w:rPr>
                <w:rFonts w:asciiTheme="majorEastAsia" w:eastAsiaTheme="majorEastAsia" w:hAnsiTheme="majorEastAsia"/>
                <w:sz w:val="24"/>
                <w:szCs w:val="26"/>
              </w:rPr>
              <w:t>.5</w:t>
            </w:r>
            <w:r w:rsidRPr="001D6B2C">
              <w:rPr>
                <w:rFonts w:asciiTheme="majorEastAsia" w:eastAsiaTheme="majorEastAsia" w:hAnsiTheme="majorEastAsia"/>
                <w:sz w:val="24"/>
                <w:szCs w:val="26"/>
              </w:rPr>
              <w:t xml:space="preserve">　</w:t>
            </w:r>
            <w:r>
              <w:rPr>
                <w:rFonts w:asciiTheme="majorEastAsia" w:eastAsiaTheme="majorEastAsia" w:hAnsiTheme="majorEastAsia" w:hint="eastAsia"/>
                <w:sz w:val="24"/>
                <w:szCs w:val="26"/>
              </w:rPr>
              <w:t>厚生労働省ホームページ</w:t>
            </w:r>
            <w:r w:rsidR="00D900A4">
              <w:rPr>
                <w:rFonts w:asciiTheme="majorEastAsia" w:eastAsiaTheme="majorEastAsia" w:hAnsiTheme="majorEastAsia" w:hint="eastAsia"/>
                <w:sz w:val="24"/>
                <w:szCs w:val="26"/>
              </w:rPr>
              <w:t xml:space="preserve">　介護サービス関係</w:t>
            </w:r>
            <w:r>
              <w:rPr>
                <w:rFonts w:asciiTheme="majorEastAsia" w:eastAsiaTheme="majorEastAsia" w:hAnsiTheme="majorEastAsia" w:hint="eastAsia"/>
                <w:sz w:val="24"/>
                <w:szCs w:val="26"/>
              </w:rPr>
              <w:t>Ｑ＆Ａ</w:t>
            </w:r>
            <w:r w:rsidR="00D900A4">
              <w:rPr>
                <w:rFonts w:asciiTheme="majorEastAsia" w:eastAsiaTheme="majorEastAsia" w:hAnsiTheme="majorEastAsia" w:hint="eastAsia"/>
                <w:sz w:val="24"/>
                <w:szCs w:val="26"/>
              </w:rPr>
              <w:t xml:space="preserve"> </w:t>
            </w:r>
            <w:r>
              <w:rPr>
                <w:rFonts w:asciiTheme="majorEastAsia" w:eastAsiaTheme="majorEastAsia" w:hAnsiTheme="majorEastAsia" w:hint="eastAsia"/>
                <w:sz w:val="24"/>
                <w:szCs w:val="26"/>
              </w:rPr>
              <w:t>抜粋</w:t>
            </w:r>
          </w:p>
        </w:tc>
      </w:tr>
    </w:tbl>
    <w:p w:rsidR="00BD210C" w:rsidRDefault="00BD210C" w:rsidP="002A5AF5">
      <w:pPr>
        <w:widowControl/>
        <w:jc w:val="left"/>
        <w:rPr>
          <w:b/>
          <w:sz w:val="24"/>
        </w:rPr>
      </w:pPr>
    </w:p>
    <w:p w:rsidR="00A6208A" w:rsidRPr="008F62F2" w:rsidRDefault="00A6208A" w:rsidP="00A6208A">
      <w:pPr>
        <w:rPr>
          <w:rFonts w:asciiTheme="majorEastAsia" w:eastAsiaTheme="majorEastAsia" w:hAnsiTheme="majorEastAsia"/>
          <w:sz w:val="22"/>
        </w:rPr>
      </w:pPr>
      <w:r w:rsidRPr="008F62F2">
        <w:rPr>
          <w:rFonts w:asciiTheme="majorEastAsia" w:eastAsiaTheme="majorEastAsia" w:hAnsiTheme="majorEastAsia" w:hint="eastAsia"/>
          <w:sz w:val="22"/>
        </w:rPr>
        <w:t>【厚生労働省ホームページ「介護サービス関係Ｑ＆Ａ」介護職員処遇改善加算抜粋】</w:t>
      </w:r>
    </w:p>
    <w:p w:rsidR="00A6208A" w:rsidRPr="00486E0B" w:rsidRDefault="00A6208A" w:rsidP="00A6208A">
      <w:pPr>
        <w:rPr>
          <w:rFonts w:asciiTheme="majorEastAsia" w:eastAsiaTheme="majorEastAsia" w:hAnsiTheme="majorEastAsia"/>
        </w:rPr>
      </w:pPr>
    </w:p>
    <w:p w:rsidR="00A6208A" w:rsidRPr="00486E0B" w:rsidRDefault="00A6208A" w:rsidP="00A6208A">
      <w:pPr>
        <w:rPr>
          <w:rFonts w:asciiTheme="majorEastAsia" w:eastAsiaTheme="majorEastAsia" w:hAnsiTheme="majorEastAsia"/>
          <w:u w:val="single"/>
        </w:rPr>
      </w:pPr>
      <w:r w:rsidRPr="00486E0B">
        <w:rPr>
          <w:rFonts w:asciiTheme="majorEastAsia" w:eastAsiaTheme="majorEastAsia" w:hAnsiTheme="majorEastAsia" w:hint="eastAsia"/>
          <w:u w:val="single"/>
        </w:rPr>
        <w:t>Ｑ１　介護職員処遇改善計画書における賃金改善の基準点はいつの時点になるのか。</w:t>
      </w:r>
    </w:p>
    <w:p w:rsidR="00A6208A" w:rsidRDefault="00A6208A" w:rsidP="00A6208A"/>
    <w:p w:rsidR="00A6208A" w:rsidRDefault="00A6208A" w:rsidP="00A6208A">
      <w:pPr>
        <w:ind w:leftChars="200" w:left="420" w:firstLineChars="100" w:firstLine="210"/>
      </w:pPr>
      <w:r>
        <w:rPr>
          <w:rFonts w:hint="eastAsia"/>
        </w:rPr>
        <w:t>介護職員処遇改善加算の算定要件は、賃金改善実施期間における賃金改善に要する額（当該改善に伴う法定福利費等の事業主負担増加額を含む。）が、加算の総額を上回ることとしている。</w:t>
      </w:r>
    </w:p>
    <w:p w:rsidR="00A6208A" w:rsidRDefault="00A6208A" w:rsidP="00A6208A">
      <w:pPr>
        <w:ind w:leftChars="200" w:left="420" w:firstLineChars="100" w:firstLine="210"/>
      </w:pPr>
      <w:r>
        <w:rPr>
          <w:rFonts w:hint="eastAsia"/>
        </w:rPr>
        <w:t>その「賃金改善」については、賃金改善実施期間における賃金水準を、以下の賃金水準と比較した場合の改善分をいう。</w:t>
      </w:r>
    </w:p>
    <w:p w:rsidR="00A6208A" w:rsidRDefault="00A6208A" w:rsidP="00A6208A">
      <w:pPr>
        <w:ind w:leftChars="400" w:left="1050" w:hangingChars="100" w:hanging="210"/>
      </w:pPr>
      <w:r>
        <w:rPr>
          <w:rFonts w:hint="eastAsia"/>
        </w:rPr>
        <w:t>・介護職員処遇改善交付金を受けていた事業所については、平成２３年度の賃金水準から交付金による改善を行っていた部分を除いた水準（ただし、平成２５年度以降に新たに加算を算定する場合は、前年度の賃金水準）。</w:t>
      </w:r>
    </w:p>
    <w:p w:rsidR="00A6208A" w:rsidRDefault="00A6208A" w:rsidP="00A6208A">
      <w:pPr>
        <w:ind w:leftChars="400" w:left="1050" w:hangingChars="100" w:hanging="210"/>
      </w:pPr>
      <w:r>
        <w:rPr>
          <w:rFonts w:hint="eastAsia"/>
        </w:rPr>
        <w:t>・介護職員処遇改善交付金を受けていなかった事業所については、加算を算定する年度の前年度の賃金水準。</w:t>
      </w:r>
    </w:p>
    <w:p w:rsidR="00A6208A" w:rsidRDefault="00A6208A" w:rsidP="00A6208A">
      <w:pPr>
        <w:ind w:firstLineChars="300" w:firstLine="630"/>
      </w:pPr>
      <w:r>
        <w:rPr>
          <w:rFonts w:hint="eastAsia"/>
        </w:rPr>
        <w:t>したがって、例えば、</w:t>
      </w:r>
    </w:p>
    <w:p w:rsidR="00A6208A" w:rsidRDefault="00A6208A" w:rsidP="00A6208A">
      <w:pPr>
        <w:ind w:leftChars="400" w:left="1050" w:hangingChars="100" w:hanging="210"/>
      </w:pPr>
      <w:r>
        <w:rPr>
          <w:rFonts w:hint="eastAsia"/>
        </w:rPr>
        <w:t>・手当等により賃金改善を実施する場合に、特段の事情なく基本給を平成２３年度より切り下げる。</w:t>
      </w:r>
    </w:p>
    <w:p w:rsidR="00A6208A" w:rsidRDefault="00A6208A" w:rsidP="00A6208A">
      <w:pPr>
        <w:ind w:leftChars="400" w:left="1050" w:hangingChars="100" w:hanging="210"/>
      </w:pPr>
      <w:r>
        <w:rPr>
          <w:rFonts w:hint="eastAsia"/>
        </w:rPr>
        <w:t>・基本給により賃金改善を実施する場合に、業績連動ではないその他の手当等を平成２３年度より引き下げる。</w:t>
      </w:r>
    </w:p>
    <w:p w:rsidR="00A6208A" w:rsidRDefault="00A6208A" w:rsidP="00A6208A">
      <w:pPr>
        <w:ind w:firstLineChars="200" w:firstLine="420"/>
      </w:pPr>
      <w:r>
        <w:rPr>
          <w:rFonts w:hint="eastAsia"/>
        </w:rPr>
        <w:t>などの場合は、賃金改善と認められない。</w:t>
      </w:r>
    </w:p>
    <w:p w:rsidR="00A6208A" w:rsidRDefault="00A6208A" w:rsidP="00A6208A">
      <w:pPr>
        <w:ind w:left="630" w:hangingChars="300" w:hanging="630"/>
      </w:pPr>
      <w:r w:rsidRPr="00A55D7B">
        <w:rPr>
          <w:rFonts w:hint="eastAsia"/>
        </w:rPr>
        <w:t xml:space="preserve">　　（</w:t>
      </w:r>
      <w:r>
        <w:rPr>
          <w:rFonts w:hint="eastAsia"/>
        </w:rPr>
        <w:t>出典：</w:t>
      </w:r>
      <w:r w:rsidRPr="00A55D7B">
        <w:rPr>
          <w:rFonts w:hint="eastAsia"/>
        </w:rPr>
        <w:t>介護保険最新情報</w:t>
      </w:r>
      <w:r w:rsidRPr="00A55D7B">
        <w:rPr>
          <w:rFonts w:hint="eastAsia"/>
        </w:rPr>
        <w:t>vol.267</w:t>
      </w:r>
      <w:r w:rsidRPr="00A55D7B">
        <w:rPr>
          <w:rFonts w:hint="eastAsia"/>
        </w:rPr>
        <w:t>「平成２４年度介護報酬改定に関するＱ＆Ａ</w:t>
      </w:r>
      <w:r w:rsidRPr="00A55D7B">
        <w:rPr>
          <w:rFonts w:hint="eastAsia"/>
        </w:rPr>
        <w:t>(Vol.1)</w:t>
      </w:r>
      <w:r w:rsidRPr="00A55D7B">
        <w:rPr>
          <w:rFonts w:hint="eastAsia"/>
        </w:rPr>
        <w:t>（平成</w:t>
      </w:r>
      <w:r w:rsidRPr="00A55D7B">
        <w:rPr>
          <w:rFonts w:hint="eastAsia"/>
        </w:rPr>
        <w:t xml:space="preserve">24 </w:t>
      </w:r>
      <w:r w:rsidRPr="00A55D7B">
        <w:rPr>
          <w:rFonts w:hint="eastAsia"/>
        </w:rPr>
        <w:t>年</w:t>
      </w:r>
      <w:r w:rsidRPr="00A55D7B">
        <w:rPr>
          <w:rFonts w:hint="eastAsia"/>
        </w:rPr>
        <w:t xml:space="preserve">3 </w:t>
      </w:r>
      <w:r w:rsidRPr="00A55D7B">
        <w:rPr>
          <w:rFonts w:hint="eastAsia"/>
        </w:rPr>
        <w:t>月</w:t>
      </w:r>
      <w:r w:rsidRPr="00A55D7B">
        <w:rPr>
          <w:rFonts w:hint="eastAsia"/>
        </w:rPr>
        <w:t xml:space="preserve">16 </w:t>
      </w:r>
      <w:r>
        <w:rPr>
          <w:rFonts w:hint="eastAsia"/>
        </w:rPr>
        <w:t>日）」）（以下、Ｑ</w:t>
      </w:r>
      <w:r>
        <w:rPr>
          <w:rFonts w:hint="eastAsia"/>
        </w:rPr>
        <w:t>17</w:t>
      </w:r>
      <w:r>
        <w:rPr>
          <w:rFonts w:hint="eastAsia"/>
        </w:rPr>
        <w:t>まで同じ</w:t>
      </w:r>
      <w:r w:rsidRPr="00A55D7B">
        <w:rPr>
          <w:rFonts w:hint="eastAsia"/>
        </w:rPr>
        <w:t>）</w:t>
      </w:r>
    </w:p>
    <w:p w:rsidR="00A6208A" w:rsidRPr="00CF45F6" w:rsidRDefault="00A6208A" w:rsidP="00A6208A"/>
    <w:p w:rsidR="00A6208A" w:rsidRPr="00486E0B" w:rsidRDefault="00A6208A" w:rsidP="00A6208A">
      <w:pPr>
        <w:rPr>
          <w:rFonts w:asciiTheme="majorEastAsia" w:eastAsiaTheme="majorEastAsia" w:hAnsiTheme="majorEastAsia"/>
          <w:u w:val="single"/>
        </w:rPr>
      </w:pPr>
      <w:r w:rsidRPr="00486E0B">
        <w:rPr>
          <w:rFonts w:asciiTheme="majorEastAsia" w:eastAsiaTheme="majorEastAsia" w:hAnsiTheme="majorEastAsia" w:hint="eastAsia"/>
          <w:u w:val="single"/>
        </w:rPr>
        <w:t>Ｑ２　介護職員処遇改善計画書における賃金改善実施期間はいつから、いつまでか。</w:t>
      </w:r>
    </w:p>
    <w:p w:rsidR="00A6208A" w:rsidRDefault="00A6208A" w:rsidP="00A6208A"/>
    <w:p w:rsidR="00A6208A" w:rsidRDefault="00A6208A" w:rsidP="00A6208A">
      <w:pPr>
        <w:ind w:leftChars="200" w:left="420" w:firstLineChars="100" w:firstLine="210"/>
      </w:pPr>
      <w:r>
        <w:rPr>
          <w:rFonts w:hint="eastAsia"/>
        </w:rPr>
        <w:t>加算における賃金改善を実施する期間であり、当該加算は平成</w:t>
      </w:r>
      <w:r>
        <w:rPr>
          <w:rFonts w:hint="eastAsia"/>
        </w:rPr>
        <w:t>24</w:t>
      </w:r>
      <w:r>
        <w:rPr>
          <w:rFonts w:hint="eastAsia"/>
        </w:rPr>
        <w:t>年</w:t>
      </w:r>
      <w:r>
        <w:rPr>
          <w:rFonts w:hint="eastAsia"/>
        </w:rPr>
        <w:t>4</w:t>
      </w:r>
      <w:r>
        <w:rPr>
          <w:rFonts w:hint="eastAsia"/>
        </w:rPr>
        <w:t>月から算定が可能となるため、その賃金改善実施期間についても原則４月（年度の途中で加算の算定を受ける場合、当該加算を受けた月）から翌年の３月までとなる。</w:t>
      </w:r>
    </w:p>
    <w:p w:rsidR="00A6208A" w:rsidRDefault="00A6208A" w:rsidP="00A6208A">
      <w:pPr>
        <w:ind w:leftChars="200" w:left="420" w:firstLineChars="100" w:firstLine="210"/>
      </w:pPr>
      <w:r>
        <w:rPr>
          <w:rFonts w:hint="eastAsia"/>
        </w:rPr>
        <w:t>なお、交付金を受けている場合等により、賃金改善期間の重複が発生する等の理由がある場合は、賃金改善実施期間を６月から翌年５月までとするなど柔軟な対応をとられたい。</w:t>
      </w:r>
    </w:p>
    <w:p w:rsidR="00A6208A" w:rsidRPr="00CF45F6" w:rsidRDefault="00A6208A" w:rsidP="00A6208A"/>
    <w:p w:rsidR="00A6208A" w:rsidRPr="00486E0B" w:rsidRDefault="00A6208A" w:rsidP="00A6208A">
      <w:pPr>
        <w:rPr>
          <w:rFonts w:asciiTheme="majorEastAsia" w:eastAsiaTheme="majorEastAsia" w:hAnsiTheme="majorEastAsia"/>
          <w:u w:val="single"/>
        </w:rPr>
      </w:pPr>
      <w:r w:rsidRPr="00486E0B">
        <w:rPr>
          <w:rFonts w:asciiTheme="majorEastAsia" w:eastAsiaTheme="majorEastAsia" w:hAnsiTheme="majorEastAsia" w:hint="eastAsia"/>
          <w:u w:val="single"/>
        </w:rPr>
        <w:t>Ｑ３　介護職員の資質向上の支援に関する計画には、具体的にどのような内容が必要か。</w:t>
      </w:r>
    </w:p>
    <w:p w:rsidR="00A6208A" w:rsidRDefault="00A6208A" w:rsidP="00A6208A"/>
    <w:p w:rsidR="00A6208A" w:rsidRDefault="00A6208A" w:rsidP="00A6208A">
      <w:pPr>
        <w:ind w:leftChars="200" w:left="420" w:firstLineChars="100" w:firstLine="210"/>
      </w:pPr>
      <w:r>
        <w:rPr>
          <w:rFonts w:hint="eastAsia"/>
        </w:rPr>
        <w:t>当該計画については、特に基準等を設けておらず、事業者の運営方針や事業者が求める介護職員像及び介護職員のキャリア志向に応じて適切に設定されたい。</w:t>
      </w:r>
    </w:p>
    <w:p w:rsidR="00A6208A" w:rsidRDefault="00A6208A" w:rsidP="00A6208A">
      <w:r>
        <w:rPr>
          <w:rFonts w:hint="eastAsia"/>
        </w:rPr>
        <w:t xml:space="preserve">　　　また、計画の期間は必ずしも賃金改善実施期間と合致しなくても良い。</w:t>
      </w:r>
    </w:p>
    <w:p w:rsidR="00A6208A" w:rsidRDefault="00A6208A" w:rsidP="00A6208A">
      <w:r>
        <w:rPr>
          <w:rFonts w:hint="eastAsia"/>
        </w:rPr>
        <w:t xml:space="preserve">　　　なお、目標を例示すれば、次のようなものが考えられる</w:t>
      </w:r>
    </w:p>
    <w:p w:rsidR="00A6208A" w:rsidRDefault="00A6208A" w:rsidP="00A6208A">
      <w:pPr>
        <w:ind w:leftChars="200" w:left="1050" w:hangingChars="300" w:hanging="630"/>
      </w:pPr>
      <w:r>
        <w:rPr>
          <w:rFonts w:hint="eastAsia"/>
        </w:rPr>
        <w:t xml:space="preserve">　　①利用者のニーズに応じた良質なサービス提供するために、介護職員が技術・能力（例：介護技術、コミュニケーション能力、協調性、問題解決能力、マネジメント能力等）の向上に努めること。</w:t>
      </w:r>
    </w:p>
    <w:p w:rsidR="00A6208A" w:rsidRDefault="00A6208A" w:rsidP="00A6208A">
      <w:pPr>
        <w:ind w:leftChars="400" w:left="1050" w:hangingChars="100" w:hanging="210"/>
      </w:pPr>
      <w:r>
        <w:rPr>
          <w:rFonts w:hint="eastAsia"/>
        </w:rPr>
        <w:t>②事業所全体での資格等（例：介護福祉士、介護職員基礎研修、訪問介護員研修等）の取得率向上</w:t>
      </w:r>
    </w:p>
    <w:p w:rsidR="00A6208A" w:rsidRDefault="00A6208A">
      <w:pPr>
        <w:widowControl/>
        <w:jc w:val="left"/>
      </w:pPr>
      <w:r>
        <w:br w:type="page"/>
      </w:r>
    </w:p>
    <w:p w:rsidR="00A6208A" w:rsidRDefault="00A6208A" w:rsidP="00A6208A"/>
    <w:p w:rsidR="00A6208A" w:rsidRPr="00486E0B" w:rsidRDefault="00A6208A" w:rsidP="00A6208A">
      <w:pPr>
        <w:ind w:left="420" w:hangingChars="200" w:hanging="420"/>
        <w:rPr>
          <w:rFonts w:asciiTheme="majorEastAsia" w:eastAsiaTheme="majorEastAsia" w:hAnsiTheme="majorEastAsia"/>
          <w:u w:val="single"/>
        </w:rPr>
      </w:pPr>
      <w:r w:rsidRPr="00486E0B">
        <w:rPr>
          <w:rFonts w:asciiTheme="majorEastAsia" w:eastAsiaTheme="majorEastAsia" w:hAnsiTheme="majorEastAsia" w:hint="eastAsia"/>
          <w:u w:val="single"/>
        </w:rPr>
        <w:t>Ｑ４　介護職員処遇改善加算に係る、厚生労働大臣が別に定める基準の内容のうち、イ⑹の「労働保険料の納付が適正に行われていること」について具体的に内容を確認すればよいか。</w:t>
      </w:r>
    </w:p>
    <w:p w:rsidR="00A6208A" w:rsidRDefault="00A6208A" w:rsidP="00A6208A"/>
    <w:p w:rsidR="00A6208A" w:rsidRDefault="00A6208A" w:rsidP="00A6208A">
      <w:pPr>
        <w:ind w:leftChars="200" w:left="420" w:firstLineChars="100" w:firstLine="210"/>
      </w:pPr>
      <w:r w:rsidRPr="00CF45F6">
        <w:rPr>
          <w:rFonts w:hint="eastAsia"/>
        </w:rPr>
        <w:t>加算の算定をしようとする事業所における従事者に対する労働保険の加入状況が適切に行われていることが必要となるため、労働保険保険関係成立届等の納入証明書（写）等を提出書類に添付する等により確認する。</w:t>
      </w:r>
    </w:p>
    <w:p w:rsidR="00A6208A" w:rsidRDefault="00A6208A" w:rsidP="00A6208A"/>
    <w:p w:rsidR="00A6208A" w:rsidRPr="00486E0B" w:rsidRDefault="00A6208A" w:rsidP="00A6208A">
      <w:pPr>
        <w:rPr>
          <w:rFonts w:asciiTheme="majorEastAsia" w:eastAsiaTheme="majorEastAsia" w:hAnsiTheme="majorEastAsia"/>
          <w:u w:val="single"/>
        </w:rPr>
      </w:pPr>
      <w:r w:rsidRPr="00486E0B">
        <w:rPr>
          <w:rFonts w:asciiTheme="majorEastAsia" w:eastAsiaTheme="majorEastAsia" w:hAnsiTheme="majorEastAsia" w:hint="eastAsia"/>
          <w:u w:val="single"/>
        </w:rPr>
        <w:t>Ｑ５　実績報告書の提出期限はいつなのか</w:t>
      </w:r>
    </w:p>
    <w:p w:rsidR="00A6208A" w:rsidRDefault="00A6208A" w:rsidP="00A6208A"/>
    <w:p w:rsidR="00A6208A" w:rsidRDefault="00A6208A" w:rsidP="00A6208A">
      <w:pPr>
        <w:ind w:leftChars="200" w:left="420" w:firstLineChars="100" w:firstLine="210"/>
      </w:pPr>
      <w:r>
        <w:rPr>
          <w:rFonts w:hint="eastAsia"/>
        </w:rPr>
        <w:t>各事業年度における最終の加算の支払いがあった月の翌々月の末日までに、介護職員処遇改善実績報告書を提出する。</w:t>
      </w:r>
    </w:p>
    <w:p w:rsidR="00A6208A" w:rsidRDefault="00A6208A" w:rsidP="00A6208A">
      <w:pPr>
        <w:ind w:leftChars="300" w:left="1050" w:hangingChars="200" w:hanging="420"/>
      </w:pPr>
      <w:r>
        <w:rPr>
          <w:rFonts w:hint="eastAsia"/>
        </w:rPr>
        <w:t>例：加算を算定する最後のサービス提供月が３月の場合、５月支払となるため、２か月後の７月末となる。</w:t>
      </w:r>
    </w:p>
    <w:p w:rsidR="00A6208A" w:rsidRPr="00CF45F6" w:rsidRDefault="00A6208A" w:rsidP="00A6208A"/>
    <w:p w:rsidR="00A6208A" w:rsidRPr="00486E0B" w:rsidRDefault="00A6208A" w:rsidP="00A6208A">
      <w:pPr>
        <w:ind w:left="420" w:hangingChars="200" w:hanging="420"/>
        <w:rPr>
          <w:rFonts w:asciiTheme="majorEastAsia" w:eastAsiaTheme="majorEastAsia" w:hAnsiTheme="majorEastAsia"/>
          <w:u w:val="single"/>
        </w:rPr>
      </w:pPr>
      <w:r w:rsidRPr="00486E0B">
        <w:rPr>
          <w:rFonts w:asciiTheme="majorEastAsia" w:eastAsiaTheme="majorEastAsia" w:hAnsiTheme="majorEastAsia" w:hint="eastAsia"/>
          <w:u w:val="single"/>
        </w:rPr>
        <w:t>Ｑ６　賃金改善等の処遇改善計画の介護職員への周知方法の確認について、回覧形式で判子を押印した計画書の写しを提出させること等が考えられるが、具体的にどのように周知すればよいか。</w:t>
      </w:r>
    </w:p>
    <w:p w:rsidR="00A6208A" w:rsidRPr="00486E0B" w:rsidRDefault="00A6208A" w:rsidP="00A6208A">
      <w:pPr>
        <w:rPr>
          <w:rFonts w:asciiTheme="majorEastAsia" w:eastAsiaTheme="majorEastAsia" w:hAnsiTheme="majorEastAsia"/>
          <w:u w:val="single"/>
        </w:rPr>
      </w:pPr>
    </w:p>
    <w:p w:rsidR="00A6208A" w:rsidRDefault="00A6208A" w:rsidP="00A6208A">
      <w:pPr>
        <w:ind w:leftChars="200" w:left="420" w:firstLineChars="100" w:firstLine="210"/>
      </w:pPr>
      <w:r w:rsidRPr="00CF45F6">
        <w:rPr>
          <w:rFonts w:hint="eastAsia"/>
        </w:rPr>
        <w:t>賃金改善計画等の周知については、全従事者が閲覧できる掲示板等への掲示や全従事者への文書による通知等が考えられるが、各法人・事業所において適切な方法で実施することが必要である。</w:t>
      </w:r>
    </w:p>
    <w:p w:rsidR="00A6208A" w:rsidRPr="00CF45F6" w:rsidRDefault="00A6208A" w:rsidP="00A6208A"/>
    <w:p w:rsidR="00A6208A" w:rsidRPr="00486E0B" w:rsidRDefault="00A6208A" w:rsidP="00A6208A">
      <w:pPr>
        <w:ind w:left="420" w:hangingChars="200" w:hanging="420"/>
        <w:rPr>
          <w:rFonts w:asciiTheme="majorEastAsia" w:eastAsiaTheme="majorEastAsia" w:hAnsiTheme="majorEastAsia"/>
          <w:u w:val="single"/>
        </w:rPr>
      </w:pPr>
      <w:r w:rsidRPr="00486E0B">
        <w:rPr>
          <w:rFonts w:asciiTheme="majorEastAsia" w:eastAsiaTheme="majorEastAsia" w:hAnsiTheme="majorEastAsia" w:hint="eastAsia"/>
          <w:u w:val="single"/>
        </w:rPr>
        <w:t>Ｑ７　介護職員の任用の際における職責又は職務内容等の定めには、最低限、どのような内容が必要か。</w:t>
      </w:r>
    </w:p>
    <w:p w:rsidR="00A6208A" w:rsidRDefault="00A6208A" w:rsidP="00A6208A"/>
    <w:p w:rsidR="00A6208A" w:rsidRDefault="00A6208A" w:rsidP="00A6208A">
      <w:pPr>
        <w:ind w:leftChars="200" w:left="420" w:firstLineChars="100" w:firstLine="210"/>
      </w:pPr>
      <w:r w:rsidRPr="00CF45F6">
        <w:rPr>
          <w:rFonts w:hint="eastAsia"/>
        </w:rPr>
        <w:t>職責や職務内容等については、特に基準等を設けておらず、事業者の運営方針等に基づいて設定することが必要である。</w:t>
      </w:r>
    </w:p>
    <w:p w:rsidR="00A6208A" w:rsidRDefault="00A6208A" w:rsidP="00A6208A"/>
    <w:p w:rsidR="00A6208A" w:rsidRPr="00486E0B" w:rsidRDefault="00A6208A" w:rsidP="00A6208A">
      <w:pPr>
        <w:ind w:left="420" w:hangingChars="200" w:hanging="420"/>
        <w:rPr>
          <w:rFonts w:asciiTheme="majorEastAsia" w:eastAsiaTheme="majorEastAsia" w:hAnsiTheme="majorEastAsia"/>
          <w:u w:val="single"/>
        </w:rPr>
      </w:pPr>
      <w:r w:rsidRPr="00486E0B">
        <w:rPr>
          <w:rFonts w:asciiTheme="majorEastAsia" w:eastAsiaTheme="majorEastAsia" w:hAnsiTheme="majorEastAsia" w:hint="eastAsia"/>
          <w:u w:val="single"/>
        </w:rPr>
        <w:t>Ｑ８　介護職員処遇改善加算の届出は毎年必要か。平成２４年度に加算を算定しており、平成２５年度にも加算を算定する場合、再度届け出る必要があるのか。</w:t>
      </w:r>
    </w:p>
    <w:p w:rsidR="00A6208A" w:rsidRDefault="00A6208A" w:rsidP="00A6208A"/>
    <w:p w:rsidR="00A6208A" w:rsidRDefault="00A6208A" w:rsidP="00A6208A">
      <w:pPr>
        <w:ind w:leftChars="200" w:left="420" w:firstLineChars="100" w:firstLine="210"/>
      </w:pPr>
      <w:r w:rsidRPr="00740E7C">
        <w:rPr>
          <w:rFonts w:hint="eastAsia"/>
        </w:rPr>
        <w:t>介護職員処遇改善加算を算定しようとする事業所が前年度も加算を算定している場合、介護職員処遇改善計画書は毎年提出する必要があるが、既に提出された計画書添付書類については、その内容に変更（加算取得に影響のない軽微な変更を含む）がない場合は、その提出を省略させることができる。</w:t>
      </w:r>
    </w:p>
    <w:p w:rsidR="00A6208A" w:rsidRDefault="00A6208A" w:rsidP="00A6208A"/>
    <w:p w:rsidR="00A6208A" w:rsidRPr="00486E0B" w:rsidRDefault="00A6208A" w:rsidP="00A6208A">
      <w:pPr>
        <w:ind w:left="420" w:hangingChars="200" w:hanging="420"/>
        <w:rPr>
          <w:rFonts w:asciiTheme="majorEastAsia" w:eastAsiaTheme="majorEastAsia" w:hAnsiTheme="majorEastAsia"/>
          <w:u w:val="single"/>
        </w:rPr>
      </w:pPr>
      <w:r w:rsidRPr="00486E0B">
        <w:rPr>
          <w:rFonts w:asciiTheme="majorEastAsia" w:eastAsiaTheme="majorEastAsia" w:hAnsiTheme="majorEastAsia" w:hint="eastAsia"/>
          <w:u w:val="single"/>
        </w:rPr>
        <w:t>Ｑ９　介護職員処遇改善計画書の作成について、当該計画の内容が変更になった場合は、改めて都道府　県知事等に届け出る必要があるのか。また、当該計画は、事業年度を超えて作成することはできないと解してよろしいか。</w:t>
      </w:r>
    </w:p>
    <w:p w:rsidR="00A6208A" w:rsidRDefault="00A6208A" w:rsidP="00A6208A">
      <w:pPr>
        <w:ind w:left="420" w:hangingChars="200" w:hanging="420"/>
      </w:pPr>
    </w:p>
    <w:p w:rsidR="00A6208A" w:rsidRDefault="00A6208A" w:rsidP="00A6208A">
      <w:pPr>
        <w:ind w:leftChars="200" w:left="420" w:firstLineChars="100" w:firstLine="210"/>
      </w:pPr>
      <w:r>
        <w:rPr>
          <w:rFonts w:hint="eastAsia"/>
        </w:rPr>
        <w:t>加算を算定する際に提出した介護職員処遇改善計画書等に変更があった場合には、必要な事項を記載した変更の届出を行う。なお、加算取得に影響のない軽微な変更については、必ずしも届け出を行う必要はない。</w:t>
      </w:r>
    </w:p>
    <w:p w:rsidR="00A6208A" w:rsidRDefault="00A6208A" w:rsidP="00A6208A">
      <w:pPr>
        <w:ind w:leftChars="200" w:left="420" w:firstLineChars="100" w:firstLine="210"/>
      </w:pPr>
      <w:r>
        <w:rPr>
          <w:rFonts w:hint="eastAsia"/>
        </w:rPr>
        <w:t>また、介護職員処遇改善計画は収入額・支出額等を各年度、見直しをする必要があるため、各年毎に作成することが必要である。</w:t>
      </w:r>
    </w:p>
    <w:p w:rsidR="00A6208A" w:rsidRDefault="00A6208A" w:rsidP="00A6208A">
      <w:pPr>
        <w:ind w:left="420" w:hangingChars="200" w:hanging="420"/>
      </w:pPr>
    </w:p>
    <w:p w:rsidR="00A6208A" w:rsidRPr="00486E0B" w:rsidRDefault="00A6208A" w:rsidP="00A6208A">
      <w:pPr>
        <w:rPr>
          <w:rFonts w:asciiTheme="majorEastAsia" w:eastAsiaTheme="majorEastAsia" w:hAnsiTheme="majorEastAsia"/>
          <w:u w:val="single"/>
        </w:rPr>
      </w:pPr>
      <w:r w:rsidRPr="00486E0B">
        <w:rPr>
          <w:rFonts w:asciiTheme="majorEastAsia" w:eastAsiaTheme="majorEastAsia" w:hAnsiTheme="majorEastAsia" w:hint="eastAsia"/>
          <w:u w:val="single"/>
        </w:rPr>
        <w:t>Ｑ10　事業悪化等により、賃金水準を引き下げることは可能か。</w:t>
      </w:r>
    </w:p>
    <w:p w:rsidR="00A6208A" w:rsidRDefault="00A6208A" w:rsidP="00A6208A"/>
    <w:p w:rsidR="00A6208A" w:rsidRDefault="00A6208A" w:rsidP="00A6208A">
      <w:pPr>
        <w:ind w:left="420" w:hangingChars="200" w:hanging="420"/>
      </w:pPr>
      <w:r>
        <w:rPr>
          <w:rFonts w:hint="eastAsia"/>
        </w:rPr>
        <w:t xml:space="preserve">　　　サービス利用者数の大幅な減少などによる経営の悪化等により、事業の継続が著しく困難であると認められるなどの理由がある場合には、適切に労使の合意を得た上で、賃金水準を見直すこともやむを得ない。</w:t>
      </w:r>
    </w:p>
    <w:p w:rsidR="00A6208A" w:rsidRDefault="00A6208A" w:rsidP="00A6208A">
      <w:pPr>
        <w:ind w:left="420" w:hangingChars="200" w:hanging="420"/>
      </w:pPr>
      <w:r>
        <w:rPr>
          <w:rFonts w:hint="eastAsia"/>
        </w:rPr>
        <w:t xml:space="preserve">　　　また、賞与等において、経常利益等の業績に連動して支払額が変動する部分が業績に応じて変動することを妨げるものではないが、本加算に係る賃金改善は、こうした変動と明確に区分されている必要がある。</w:t>
      </w:r>
    </w:p>
    <w:p w:rsidR="00A6208A" w:rsidRDefault="00A6208A" w:rsidP="00A6208A"/>
    <w:p w:rsidR="00A6208A" w:rsidRPr="00486E0B" w:rsidRDefault="00A6208A" w:rsidP="00A6208A">
      <w:pPr>
        <w:ind w:left="420" w:hangingChars="200" w:hanging="420"/>
        <w:rPr>
          <w:rFonts w:asciiTheme="majorEastAsia" w:eastAsiaTheme="majorEastAsia" w:hAnsiTheme="majorEastAsia"/>
          <w:u w:val="single"/>
        </w:rPr>
      </w:pPr>
      <w:r w:rsidRPr="00486E0B">
        <w:rPr>
          <w:rFonts w:asciiTheme="majorEastAsia" w:eastAsiaTheme="majorEastAsia" w:hAnsiTheme="majorEastAsia" w:hint="eastAsia"/>
          <w:u w:val="single"/>
        </w:rPr>
        <w:t>Ｑ11　実績報告で賃金改善額が加算額を下回った場合、これまでの交付金と同様、返還する必要があるのか。</w:t>
      </w:r>
    </w:p>
    <w:p w:rsidR="00A6208A" w:rsidRDefault="00A6208A" w:rsidP="00A6208A"/>
    <w:p w:rsidR="00A6208A" w:rsidRDefault="00A6208A" w:rsidP="00A6208A">
      <w:pPr>
        <w:ind w:leftChars="200" w:left="420" w:firstLineChars="100" w:firstLine="210"/>
      </w:pPr>
      <w:r>
        <w:rPr>
          <w:rFonts w:hint="eastAsia"/>
        </w:rPr>
        <w:t>加算の算定要件は、賃金改善額が加算による収入額を上回ることであり、加算による収入額を下回ることは想定されないが、仮に加算による収入額を下回っている場合は、一時金や賞与として支給されることが望ましい。</w:t>
      </w:r>
    </w:p>
    <w:p w:rsidR="00A6208A" w:rsidRDefault="00A6208A" w:rsidP="00A6208A">
      <w:r>
        <w:rPr>
          <w:rFonts w:hint="eastAsia"/>
        </w:rPr>
        <w:t xml:space="preserve">　　　なお、悪質な事例については、加算の算定要件を満たしていない不正請求として全額返還となる。</w:t>
      </w:r>
    </w:p>
    <w:p w:rsidR="00A6208A" w:rsidRDefault="00A6208A" w:rsidP="00A6208A"/>
    <w:p w:rsidR="00A6208A" w:rsidRPr="00486E0B" w:rsidRDefault="00A6208A" w:rsidP="00A6208A">
      <w:pPr>
        <w:rPr>
          <w:rFonts w:asciiTheme="majorEastAsia" w:eastAsiaTheme="majorEastAsia" w:hAnsiTheme="majorEastAsia"/>
          <w:u w:val="single"/>
        </w:rPr>
      </w:pPr>
      <w:r w:rsidRPr="00486E0B">
        <w:rPr>
          <w:rFonts w:asciiTheme="majorEastAsia" w:eastAsiaTheme="majorEastAsia" w:hAnsiTheme="majorEastAsia" w:hint="eastAsia"/>
          <w:u w:val="single"/>
        </w:rPr>
        <w:t>Ｑ12　期限までに実績報告が行われない場合は、実施期間中の当該加算は全額返還となるのか。</w:t>
      </w:r>
    </w:p>
    <w:p w:rsidR="00A6208A" w:rsidRDefault="00A6208A" w:rsidP="00A6208A"/>
    <w:p w:rsidR="00A6208A" w:rsidRDefault="00A6208A" w:rsidP="00A6208A">
      <w:pPr>
        <w:ind w:leftChars="200" w:left="420" w:firstLineChars="100" w:firstLine="210"/>
      </w:pPr>
      <w:r w:rsidRPr="00A55D7B">
        <w:rPr>
          <w:rFonts w:hint="eastAsia"/>
        </w:rPr>
        <w:t>加算の算定要件で実績報告を行うことしており、指定権者が実績報告の提出を求める等の指導を行っているにも関わらず、実績報告の提出を行わない場合は、加算の算定要件を満たしていない不正請求として全額返還となる。</w:t>
      </w:r>
    </w:p>
    <w:p w:rsidR="00A6208A" w:rsidRDefault="00A6208A" w:rsidP="00A6208A"/>
    <w:p w:rsidR="00A6208A" w:rsidRPr="00486E0B" w:rsidRDefault="00A6208A" w:rsidP="00A6208A">
      <w:pPr>
        <w:ind w:left="420" w:hangingChars="200" w:hanging="420"/>
        <w:rPr>
          <w:rFonts w:asciiTheme="majorEastAsia" w:eastAsiaTheme="majorEastAsia" w:hAnsiTheme="majorEastAsia"/>
          <w:u w:val="single"/>
        </w:rPr>
      </w:pPr>
      <w:r w:rsidRPr="00486E0B">
        <w:rPr>
          <w:rFonts w:asciiTheme="majorEastAsia" w:eastAsiaTheme="majorEastAsia" w:hAnsiTheme="majorEastAsia" w:hint="eastAsia"/>
          <w:u w:val="single"/>
        </w:rPr>
        <w:t>Ｑ13　加算は、事業所ごとに算定するため，介護職員処遇改善加算の算定要件である介護職員処遇改善計画書や実績報告書は，（法人単位ではなく）事業所ごとに提出する必要があるのか。</w:t>
      </w:r>
    </w:p>
    <w:p w:rsidR="00A6208A" w:rsidRDefault="00A6208A" w:rsidP="00A6208A"/>
    <w:p w:rsidR="00A6208A" w:rsidRDefault="00A6208A" w:rsidP="00A6208A">
      <w:pPr>
        <w:ind w:leftChars="200" w:left="420" w:firstLineChars="100" w:firstLine="210"/>
      </w:pPr>
      <w:r w:rsidRPr="00A55D7B">
        <w:rPr>
          <w:rFonts w:hint="eastAsia"/>
        </w:rPr>
        <w:t>加算は、事業所毎に算定をするため事業所毎の届出が原則となるが、介護サービス事業所等を複数有する介護サービス事業者等（法人である場合に限る。）である場合や介護サービス事業所等ごとの届出が実態に鑑み適当でない場合、介護職員処遇改善計画書は、当該介護サービス事業者等が一括して作成することができる。また、同一の就業規則により運営されている場合に、地域ごとや介護サービスごとに作成することができる。</w:t>
      </w:r>
    </w:p>
    <w:p w:rsidR="00A6208A" w:rsidRDefault="00A6208A" w:rsidP="00A6208A"/>
    <w:p w:rsidR="00A6208A" w:rsidRPr="00486E0B" w:rsidRDefault="00A6208A" w:rsidP="00A6208A">
      <w:pPr>
        <w:ind w:left="420" w:hangingChars="200" w:hanging="420"/>
        <w:rPr>
          <w:rFonts w:asciiTheme="majorEastAsia" w:eastAsiaTheme="majorEastAsia" w:hAnsiTheme="majorEastAsia"/>
          <w:u w:val="single"/>
        </w:rPr>
      </w:pPr>
      <w:r w:rsidRPr="00486E0B">
        <w:rPr>
          <w:rFonts w:asciiTheme="majorEastAsia" w:eastAsiaTheme="majorEastAsia" w:hAnsiTheme="majorEastAsia" w:hint="eastAsia"/>
          <w:u w:val="single"/>
        </w:rPr>
        <w:t>Ｑ14　介護職員処遇改善加算は区分支給限度基準額に反映しないとありますが、利用料には反映されるのか。</w:t>
      </w:r>
    </w:p>
    <w:p w:rsidR="00A6208A" w:rsidRPr="00A6208A" w:rsidRDefault="00A6208A" w:rsidP="00A6208A">
      <w:pPr>
        <w:ind w:left="420" w:hangingChars="200" w:hanging="420"/>
      </w:pPr>
    </w:p>
    <w:p w:rsidR="00A6208A" w:rsidRDefault="00A6208A" w:rsidP="00A6208A">
      <w:pPr>
        <w:ind w:leftChars="200" w:left="420" w:firstLineChars="100" w:firstLine="210"/>
      </w:pPr>
      <w:r w:rsidRPr="00A55D7B">
        <w:rPr>
          <w:rFonts w:hint="eastAsia"/>
        </w:rPr>
        <w:t>介護職員処遇改善加算は、区分支給限度基準額の算定には含まない。また、利用者には通常の介護報酬算出方式に基づき算出した額の</w:t>
      </w:r>
      <w:r w:rsidRPr="00A55D7B">
        <w:rPr>
          <w:rFonts w:hint="eastAsia"/>
        </w:rPr>
        <w:t>1</w:t>
      </w:r>
      <w:r w:rsidRPr="00A55D7B">
        <w:rPr>
          <w:rFonts w:hint="eastAsia"/>
        </w:rPr>
        <w:t>割を請求することになる。</w:t>
      </w:r>
    </w:p>
    <w:p w:rsidR="00A6208A" w:rsidRDefault="00A6208A" w:rsidP="00A6208A">
      <w:pPr>
        <w:ind w:left="420" w:hangingChars="200" w:hanging="420"/>
      </w:pPr>
    </w:p>
    <w:p w:rsidR="00A6208A" w:rsidRPr="00486E0B" w:rsidRDefault="00A6208A" w:rsidP="00A6208A">
      <w:pPr>
        <w:rPr>
          <w:rFonts w:asciiTheme="majorEastAsia" w:eastAsiaTheme="majorEastAsia" w:hAnsiTheme="majorEastAsia"/>
          <w:u w:val="single"/>
        </w:rPr>
      </w:pPr>
      <w:r w:rsidRPr="00486E0B">
        <w:rPr>
          <w:rFonts w:asciiTheme="majorEastAsia" w:eastAsiaTheme="majorEastAsia" w:hAnsiTheme="majorEastAsia" w:hint="eastAsia"/>
          <w:u w:val="single"/>
        </w:rPr>
        <w:t>Ｑ15　平成２４年度から新たに介護サービス事業所を開設する場合も加算の算定は可能か。</w:t>
      </w:r>
    </w:p>
    <w:p w:rsidR="00A6208A" w:rsidRDefault="00A6208A" w:rsidP="00A6208A"/>
    <w:p w:rsidR="00A6208A" w:rsidRDefault="00A6208A" w:rsidP="00A6208A">
      <w:pPr>
        <w:ind w:leftChars="200" w:left="420" w:firstLineChars="100" w:firstLine="210"/>
      </w:pPr>
      <w:r w:rsidRPr="00A55D7B">
        <w:rPr>
          <w:rFonts w:hint="eastAsia"/>
        </w:rPr>
        <w:t>新規事業所についても、加算算定は可能である。この場合においては、介護職員処遇改善計画書の賃金改善額は賃金のうち加算の収入を充当する部分を明確にすることが必要である。なお、方法は就業規則、雇用契約書等に記載する方法が考えられる。</w:t>
      </w:r>
    </w:p>
    <w:p w:rsidR="00A6208A" w:rsidRDefault="00A6208A" w:rsidP="00A6208A"/>
    <w:p w:rsidR="00A6208A" w:rsidRPr="00486E0B" w:rsidRDefault="00A6208A" w:rsidP="00A6208A">
      <w:pPr>
        <w:rPr>
          <w:rFonts w:asciiTheme="majorEastAsia" w:eastAsiaTheme="majorEastAsia" w:hAnsiTheme="majorEastAsia"/>
          <w:u w:val="single"/>
        </w:rPr>
      </w:pPr>
      <w:r w:rsidRPr="00486E0B">
        <w:rPr>
          <w:rFonts w:asciiTheme="majorEastAsia" w:eastAsiaTheme="majorEastAsia" w:hAnsiTheme="majorEastAsia" w:hint="eastAsia"/>
          <w:u w:val="single"/>
        </w:rPr>
        <w:t xml:space="preserve">Ｑ16　交付金事業では、賃金改善は複数の給与項目で実施できたが、加算においても同様の取り扱うの　</w:t>
      </w:r>
    </w:p>
    <w:p w:rsidR="00A6208A" w:rsidRPr="00486E0B" w:rsidRDefault="00A6208A" w:rsidP="00A6208A">
      <w:pPr>
        <w:ind w:firstLineChars="200" w:firstLine="420"/>
        <w:rPr>
          <w:rFonts w:asciiTheme="majorEastAsia" w:eastAsiaTheme="majorEastAsia" w:hAnsiTheme="majorEastAsia"/>
          <w:u w:val="single"/>
        </w:rPr>
      </w:pPr>
      <w:r w:rsidRPr="00486E0B">
        <w:rPr>
          <w:rFonts w:asciiTheme="majorEastAsia" w:eastAsiaTheme="majorEastAsia" w:hAnsiTheme="majorEastAsia" w:hint="eastAsia"/>
          <w:u w:val="single"/>
        </w:rPr>
        <w:t>か。一時金で改善してもよいのか。</w:t>
      </w:r>
    </w:p>
    <w:p w:rsidR="00A6208A" w:rsidRPr="00486E0B" w:rsidRDefault="00A6208A" w:rsidP="00A6208A">
      <w:pPr>
        <w:ind w:firstLineChars="200" w:firstLine="420"/>
        <w:rPr>
          <w:rFonts w:asciiTheme="majorEastAsia" w:eastAsiaTheme="majorEastAsia" w:hAnsiTheme="majorEastAsia"/>
          <w:u w:val="single"/>
        </w:rPr>
      </w:pPr>
    </w:p>
    <w:p w:rsidR="00A6208A" w:rsidRDefault="00A6208A" w:rsidP="00A6208A">
      <w:pPr>
        <w:ind w:leftChars="200" w:left="420" w:firstLineChars="100" w:firstLine="210"/>
      </w:pPr>
      <w:r w:rsidRPr="00A55D7B">
        <w:rPr>
          <w:rFonts w:hint="eastAsia"/>
        </w:rPr>
        <w:t>介護職員処遇改善計画書には、増額若しくは新設した又はする予定である給与の項目の種類（基本給、手当、賞与又は一時金等）等を記載することとしているが、基本給で実施されることが望ましい。</w:t>
      </w:r>
    </w:p>
    <w:p w:rsidR="00A6208A" w:rsidRDefault="00A6208A" w:rsidP="00A6208A">
      <w:pPr>
        <w:ind w:firstLineChars="200" w:firstLine="420"/>
      </w:pPr>
    </w:p>
    <w:p w:rsidR="00A6208A" w:rsidRPr="00486E0B" w:rsidRDefault="00A6208A" w:rsidP="00A6208A">
      <w:pPr>
        <w:ind w:left="420" w:hangingChars="200" w:hanging="420"/>
        <w:rPr>
          <w:rFonts w:asciiTheme="majorEastAsia" w:eastAsiaTheme="majorEastAsia" w:hAnsiTheme="majorEastAsia"/>
          <w:u w:val="single"/>
        </w:rPr>
      </w:pPr>
      <w:r w:rsidRPr="00486E0B">
        <w:rPr>
          <w:rFonts w:asciiTheme="majorEastAsia" w:eastAsiaTheme="majorEastAsia" w:hAnsiTheme="majorEastAsia" w:hint="eastAsia"/>
          <w:u w:val="single"/>
        </w:rPr>
        <w:t>Ｑ17　交付金事業と同様に、賃金改善は常勤、非常勤等を問わず、また、一部の介護職員を対象としないことは可能か。</w:t>
      </w:r>
    </w:p>
    <w:p w:rsidR="00A6208A" w:rsidRDefault="00A6208A" w:rsidP="00A6208A">
      <w:pPr>
        <w:ind w:left="420" w:hangingChars="200" w:hanging="420"/>
      </w:pPr>
    </w:p>
    <w:p w:rsidR="00A6208A" w:rsidRDefault="00A6208A" w:rsidP="00A6208A">
      <w:pPr>
        <w:ind w:leftChars="200" w:left="420" w:firstLineChars="100" w:firstLine="210"/>
      </w:pPr>
      <w:r w:rsidRPr="00A55D7B">
        <w:rPr>
          <w:rFonts w:hint="eastAsia"/>
        </w:rPr>
        <w:t>介護職員処遇改善加算の算定要件は、賃金改善に要する額が加算による収入を上回ることであり、事業所（法人）全体での賃金改善が要件を満たしていれば、一部の介護職員を対象としないことは可能である。</w:t>
      </w:r>
    </w:p>
    <w:p w:rsidR="00A6208A" w:rsidRDefault="00A6208A" w:rsidP="00A6208A">
      <w:pPr>
        <w:ind w:left="420" w:hangingChars="200" w:hanging="420"/>
      </w:pPr>
    </w:p>
    <w:p w:rsidR="00A6208A" w:rsidRPr="00486E0B" w:rsidRDefault="00A6208A" w:rsidP="00A6208A">
      <w:pPr>
        <w:ind w:left="420" w:hangingChars="200" w:hanging="420"/>
        <w:rPr>
          <w:rFonts w:asciiTheme="majorEastAsia" w:eastAsiaTheme="majorEastAsia" w:hAnsiTheme="majorEastAsia"/>
          <w:u w:val="single"/>
        </w:rPr>
      </w:pPr>
      <w:r w:rsidRPr="00486E0B">
        <w:rPr>
          <w:rFonts w:asciiTheme="majorEastAsia" w:eastAsiaTheme="majorEastAsia" w:hAnsiTheme="majorEastAsia" w:hint="eastAsia"/>
          <w:u w:val="single"/>
        </w:rPr>
        <w:t>Ｑ18　加算算定時に１単位未満の端数が生じた場合、どのように取り扱うのか。また同様に、利用者負担の１円未満はどのように取り扱うのか。</w:t>
      </w:r>
    </w:p>
    <w:p w:rsidR="00A6208A" w:rsidRDefault="00A6208A" w:rsidP="00A6208A">
      <w:pPr>
        <w:ind w:left="420" w:hangingChars="200" w:hanging="420"/>
      </w:pPr>
    </w:p>
    <w:p w:rsidR="00A6208A" w:rsidRDefault="00A6208A" w:rsidP="00A6208A">
      <w:pPr>
        <w:ind w:leftChars="200" w:left="420" w:firstLineChars="100" w:firstLine="210"/>
      </w:pPr>
      <w:r>
        <w:rPr>
          <w:rFonts w:hint="eastAsia"/>
        </w:rPr>
        <w:t>通常の介護報酬における単位の計算と同等に、一単位未満の端数を四捨五入し、現行の他の加算と同様になる。また、利用者負担についても現行の他の加算と同様に、介護職員処遇改善加算額から保険請求額等を減じた額となる。</w:t>
      </w:r>
    </w:p>
    <w:p w:rsidR="00A6208A" w:rsidRDefault="00A6208A" w:rsidP="00A6208A">
      <w:pPr>
        <w:ind w:leftChars="200" w:left="420" w:firstLineChars="100" w:firstLine="210"/>
      </w:pPr>
      <w:r>
        <w:rPr>
          <w:rFonts w:hint="eastAsia"/>
        </w:rPr>
        <w:t>なお、保険請求額は、１円未満の端数切り捨てにより算定する。</w:t>
      </w:r>
    </w:p>
    <w:p w:rsidR="00A6208A" w:rsidRDefault="00A6208A" w:rsidP="00A6208A">
      <w:pPr>
        <w:ind w:left="630" w:hangingChars="300" w:hanging="630"/>
      </w:pPr>
      <w:r w:rsidRPr="00A55D7B">
        <w:rPr>
          <w:rFonts w:hint="eastAsia"/>
        </w:rPr>
        <w:t xml:space="preserve">　　（</w:t>
      </w:r>
      <w:r>
        <w:rPr>
          <w:rFonts w:hint="eastAsia"/>
        </w:rPr>
        <w:t>出典：介護保険最新情報</w:t>
      </w:r>
      <w:r>
        <w:rPr>
          <w:rFonts w:hint="eastAsia"/>
        </w:rPr>
        <w:t>vol.273</w:t>
      </w:r>
      <w:r>
        <w:rPr>
          <w:rFonts w:hint="eastAsia"/>
        </w:rPr>
        <w:t>「平成２４年度介護報酬改定に関するＱ＆Ａ（</w:t>
      </w:r>
      <w:r>
        <w:rPr>
          <w:rFonts w:hint="eastAsia"/>
        </w:rPr>
        <w:t>Vol.2</w:t>
      </w:r>
      <w:r>
        <w:rPr>
          <w:rFonts w:hint="eastAsia"/>
        </w:rPr>
        <w:t>）（平成</w:t>
      </w:r>
      <w:r>
        <w:rPr>
          <w:rFonts w:hint="eastAsia"/>
        </w:rPr>
        <w:t xml:space="preserve">24 </w:t>
      </w:r>
      <w:r>
        <w:rPr>
          <w:rFonts w:hint="eastAsia"/>
        </w:rPr>
        <w:t>年</w:t>
      </w:r>
      <w:r>
        <w:rPr>
          <w:rFonts w:hint="eastAsia"/>
        </w:rPr>
        <w:t xml:space="preserve">3 </w:t>
      </w:r>
      <w:r>
        <w:rPr>
          <w:rFonts w:hint="eastAsia"/>
        </w:rPr>
        <w:t>月</w:t>
      </w:r>
      <w:r>
        <w:rPr>
          <w:rFonts w:hint="eastAsia"/>
        </w:rPr>
        <w:t xml:space="preserve">30 </w:t>
      </w:r>
      <w:r>
        <w:rPr>
          <w:rFonts w:hint="eastAsia"/>
        </w:rPr>
        <w:t>日）」）</w:t>
      </w:r>
    </w:p>
    <w:p w:rsidR="00A6208A" w:rsidRDefault="00A6208A" w:rsidP="00A6208A"/>
    <w:p w:rsidR="00A6208A" w:rsidRPr="00486E0B" w:rsidRDefault="00A6208A" w:rsidP="00A6208A">
      <w:pPr>
        <w:ind w:left="420" w:hangingChars="200" w:hanging="420"/>
        <w:rPr>
          <w:rFonts w:asciiTheme="majorEastAsia" w:eastAsiaTheme="majorEastAsia" w:hAnsiTheme="majorEastAsia"/>
          <w:u w:val="single"/>
        </w:rPr>
      </w:pPr>
      <w:r w:rsidRPr="00486E0B">
        <w:rPr>
          <w:rFonts w:asciiTheme="majorEastAsia" w:eastAsiaTheme="majorEastAsia" w:hAnsiTheme="majorEastAsia" w:hint="eastAsia"/>
          <w:u w:val="single"/>
        </w:rPr>
        <w:t>Ｑ19　介護報酬総単位数が区分支給限度基準額を超えた場合、介護職員処遇改善加算はどのように算定するのか。</w:t>
      </w:r>
    </w:p>
    <w:p w:rsidR="00A6208A" w:rsidRDefault="00A6208A" w:rsidP="00A6208A">
      <w:pPr>
        <w:ind w:left="420" w:hangingChars="200" w:hanging="420"/>
      </w:pPr>
    </w:p>
    <w:p w:rsidR="00A6208A" w:rsidRDefault="00A6208A" w:rsidP="00A6208A">
      <w:pPr>
        <w:ind w:leftChars="200" w:left="420" w:firstLineChars="100" w:firstLine="210"/>
      </w:pPr>
      <w:r>
        <w:rPr>
          <w:rFonts w:hint="eastAsia"/>
        </w:rPr>
        <w:t>介護職員処遇改善加算は、サービス別の介護報酬総単位数にサービス別の加算率を乗じて算出する。</w:t>
      </w:r>
    </w:p>
    <w:p w:rsidR="00A6208A" w:rsidRDefault="00A6208A" w:rsidP="00A6208A">
      <w:pPr>
        <w:ind w:leftChars="200" w:left="420" w:firstLineChars="100" w:firstLine="210"/>
      </w:pPr>
      <w:r>
        <w:rPr>
          <w:rFonts w:hint="eastAsia"/>
        </w:rPr>
        <w:t>その上で、利用者負担を算出する際には、まず介護報酬総単位数が区分支給限度基準額を超えているか否かを確認した上で超えている場合には、超過分と当該超過分に係る加算は保険給付の対象外となる。</w:t>
      </w:r>
    </w:p>
    <w:p w:rsidR="00A6208A" w:rsidRDefault="00A6208A" w:rsidP="00A6208A">
      <w:pPr>
        <w:ind w:leftChars="200" w:left="630" w:hangingChars="100" w:hanging="210"/>
      </w:pPr>
      <w:r w:rsidRPr="00A55D7B">
        <w:rPr>
          <w:rFonts w:hint="eastAsia"/>
        </w:rPr>
        <w:t>（</w:t>
      </w:r>
      <w:r>
        <w:rPr>
          <w:rFonts w:hint="eastAsia"/>
        </w:rPr>
        <w:t>出典：介護保険最新情報</w:t>
      </w:r>
      <w:r>
        <w:rPr>
          <w:rFonts w:hint="eastAsia"/>
        </w:rPr>
        <w:t>vol.284</w:t>
      </w:r>
      <w:r>
        <w:rPr>
          <w:rFonts w:hint="eastAsia"/>
        </w:rPr>
        <w:t>「平成２４年度介護報酬改定に関するＱ＆Ａ（</w:t>
      </w:r>
      <w:r>
        <w:rPr>
          <w:rFonts w:hint="eastAsia"/>
        </w:rPr>
        <w:t>vol</w:t>
      </w:r>
      <w:r>
        <w:rPr>
          <w:rFonts w:hint="eastAsia"/>
        </w:rPr>
        <w:t>．</w:t>
      </w:r>
      <w:r>
        <w:rPr>
          <w:rFonts w:hint="eastAsia"/>
        </w:rPr>
        <w:t>3</w:t>
      </w:r>
      <w:r>
        <w:rPr>
          <w:rFonts w:hint="eastAsia"/>
        </w:rPr>
        <w:t>）（平成</w:t>
      </w:r>
      <w:r>
        <w:rPr>
          <w:rFonts w:hint="eastAsia"/>
        </w:rPr>
        <w:t>24</w:t>
      </w:r>
      <w:r>
        <w:rPr>
          <w:rFonts w:hint="eastAsia"/>
        </w:rPr>
        <w:t>年</w:t>
      </w:r>
      <w:r>
        <w:rPr>
          <w:rFonts w:hint="eastAsia"/>
        </w:rPr>
        <w:t>4</w:t>
      </w:r>
      <w:r>
        <w:rPr>
          <w:rFonts w:hint="eastAsia"/>
        </w:rPr>
        <w:t>月</w:t>
      </w:r>
      <w:r>
        <w:rPr>
          <w:rFonts w:hint="eastAsia"/>
        </w:rPr>
        <w:t>25</w:t>
      </w:r>
      <w:r>
        <w:rPr>
          <w:rFonts w:hint="eastAsia"/>
        </w:rPr>
        <w:t>日）」）</w:t>
      </w:r>
      <w:r>
        <w:rPr>
          <w:rFonts w:hint="eastAsia"/>
        </w:rPr>
        <w:t>(</w:t>
      </w:r>
      <w:r>
        <w:rPr>
          <w:rFonts w:hint="eastAsia"/>
        </w:rPr>
        <w:t>以下、Ｑ</w:t>
      </w:r>
      <w:r>
        <w:rPr>
          <w:rFonts w:hint="eastAsia"/>
        </w:rPr>
        <w:t>23</w:t>
      </w:r>
      <w:r>
        <w:rPr>
          <w:rFonts w:hint="eastAsia"/>
        </w:rPr>
        <w:t>まで同じ</w:t>
      </w:r>
      <w:r>
        <w:rPr>
          <w:rFonts w:hint="eastAsia"/>
        </w:rPr>
        <w:t>)</w:t>
      </w:r>
    </w:p>
    <w:p w:rsidR="00A6208A" w:rsidRPr="00486E0B" w:rsidRDefault="00A6208A" w:rsidP="00A6208A">
      <w:pPr>
        <w:ind w:leftChars="200" w:left="630" w:hangingChars="100" w:hanging="210"/>
        <w:rPr>
          <w:rFonts w:asciiTheme="majorEastAsia" w:eastAsiaTheme="majorEastAsia" w:hAnsiTheme="majorEastAsia"/>
          <w:u w:val="single"/>
        </w:rPr>
      </w:pPr>
    </w:p>
    <w:p w:rsidR="00A6208A" w:rsidRPr="00486E0B" w:rsidRDefault="00A6208A" w:rsidP="00A6208A">
      <w:pPr>
        <w:ind w:left="420" w:hangingChars="200" w:hanging="420"/>
        <w:rPr>
          <w:rFonts w:asciiTheme="majorEastAsia" w:eastAsiaTheme="majorEastAsia" w:hAnsiTheme="majorEastAsia"/>
          <w:u w:val="single"/>
        </w:rPr>
      </w:pPr>
      <w:r w:rsidRPr="00486E0B">
        <w:rPr>
          <w:rFonts w:asciiTheme="majorEastAsia" w:eastAsiaTheme="majorEastAsia" w:hAnsiTheme="majorEastAsia" w:hint="eastAsia"/>
          <w:u w:val="single"/>
        </w:rPr>
        <w:t>Ｑ20　複数のサービスを利用し、区分支給限度基準額を超えた場合、どのサービスを区分支給限度基準額超過の取扱いとするのか。また、それは誰がどのように判断するのか。</w:t>
      </w:r>
    </w:p>
    <w:p w:rsidR="00A6208A" w:rsidRDefault="00A6208A" w:rsidP="00A6208A">
      <w:pPr>
        <w:ind w:left="420" w:hangingChars="200" w:hanging="420"/>
      </w:pPr>
    </w:p>
    <w:p w:rsidR="00A6208A" w:rsidRDefault="00A6208A" w:rsidP="00A6208A">
      <w:pPr>
        <w:ind w:leftChars="200" w:left="420" w:firstLineChars="100" w:firstLine="210"/>
      </w:pPr>
      <w:r w:rsidRPr="00486E0B">
        <w:rPr>
          <w:rFonts w:hint="eastAsia"/>
        </w:rPr>
        <w:t>これまでの取扱いと同様に、いずれのサービスを区分支給限度基準額超過の取扱いとしても構わない。また、ケアプラン作成時に、ケアマネジャーがどのサービスを区分支給限度基準額超過とするかについて判断する。</w:t>
      </w:r>
    </w:p>
    <w:p w:rsidR="00A6208A" w:rsidRDefault="00A6208A">
      <w:pPr>
        <w:widowControl/>
        <w:jc w:val="left"/>
      </w:pPr>
      <w:r>
        <w:br w:type="page"/>
      </w:r>
    </w:p>
    <w:p w:rsidR="00A6208A" w:rsidRDefault="00A6208A" w:rsidP="00A6208A">
      <w:pPr>
        <w:ind w:left="420" w:hangingChars="200" w:hanging="420"/>
      </w:pPr>
    </w:p>
    <w:p w:rsidR="00A6208A" w:rsidRPr="00486E0B" w:rsidRDefault="00A6208A" w:rsidP="00A6208A">
      <w:pPr>
        <w:ind w:left="420" w:hangingChars="200" w:hanging="420"/>
        <w:rPr>
          <w:rFonts w:asciiTheme="majorEastAsia" w:eastAsiaTheme="majorEastAsia" w:hAnsiTheme="majorEastAsia"/>
          <w:u w:val="single"/>
        </w:rPr>
      </w:pPr>
      <w:r w:rsidRPr="00486E0B">
        <w:rPr>
          <w:rFonts w:asciiTheme="majorEastAsia" w:eastAsiaTheme="majorEastAsia" w:hAnsiTheme="majorEastAsia" w:hint="eastAsia"/>
          <w:u w:val="single"/>
        </w:rPr>
        <w:t>Ｑ21　賃金改善実施期間は、加算の算定月数より短くすることは可能か。</w:t>
      </w:r>
    </w:p>
    <w:p w:rsidR="00A6208A" w:rsidRDefault="00A6208A" w:rsidP="00A6208A">
      <w:pPr>
        <w:ind w:left="420" w:hangingChars="200" w:hanging="420"/>
      </w:pPr>
    </w:p>
    <w:p w:rsidR="00A6208A" w:rsidRDefault="00A6208A" w:rsidP="00A6208A">
      <w:pPr>
        <w:ind w:leftChars="200" w:left="420" w:firstLineChars="100" w:firstLine="210"/>
      </w:pPr>
      <w:r w:rsidRPr="00486E0B">
        <w:rPr>
          <w:rFonts w:hint="eastAsia"/>
        </w:rPr>
        <w:t>加算の算定月数と同じ月数とすること。</w:t>
      </w:r>
    </w:p>
    <w:p w:rsidR="00A6208A" w:rsidRDefault="00A6208A" w:rsidP="00A6208A">
      <w:pPr>
        <w:ind w:left="420" w:hangingChars="200" w:hanging="420"/>
      </w:pPr>
    </w:p>
    <w:p w:rsidR="00A6208A" w:rsidRPr="00486E0B" w:rsidRDefault="00A6208A" w:rsidP="00A6208A">
      <w:pPr>
        <w:ind w:left="420" w:hangingChars="200" w:hanging="420"/>
        <w:rPr>
          <w:rFonts w:asciiTheme="majorEastAsia" w:eastAsiaTheme="majorEastAsia" w:hAnsiTheme="majorEastAsia"/>
          <w:u w:val="single"/>
        </w:rPr>
      </w:pPr>
      <w:r w:rsidRPr="00486E0B">
        <w:rPr>
          <w:rFonts w:asciiTheme="majorEastAsia" w:eastAsiaTheme="majorEastAsia" w:hAnsiTheme="majorEastAsia" w:hint="eastAsia"/>
          <w:u w:val="single"/>
        </w:rPr>
        <w:t>Ｑ22　介護職員処遇改善実績報告書の「介護職員処遇改善加算総額」欄には保険請求分に係る加算総額を記載するのか。</w:t>
      </w:r>
    </w:p>
    <w:p w:rsidR="00A6208A" w:rsidRDefault="00A6208A" w:rsidP="00A6208A">
      <w:pPr>
        <w:ind w:left="420" w:hangingChars="200" w:hanging="420"/>
      </w:pPr>
    </w:p>
    <w:p w:rsidR="00A6208A" w:rsidRDefault="00A6208A" w:rsidP="00A6208A">
      <w:pPr>
        <w:ind w:leftChars="200" w:left="420" w:firstLineChars="100" w:firstLine="210"/>
      </w:pPr>
      <w:r w:rsidRPr="00486E0B">
        <w:rPr>
          <w:rFonts w:hint="eastAsia"/>
        </w:rPr>
        <w:t>保険請求分に係る加算額（利用者１割負担分を含む）と区分支給限度基準額を超えたサービスに係る加算額を合算した額を記載することとし、その内訳が分かるようにすること。</w:t>
      </w:r>
    </w:p>
    <w:p w:rsidR="00A6208A" w:rsidRDefault="00A6208A" w:rsidP="00A6208A">
      <w:pPr>
        <w:ind w:left="420" w:hangingChars="200" w:hanging="420"/>
      </w:pPr>
    </w:p>
    <w:p w:rsidR="00A6208A" w:rsidRPr="00486E0B" w:rsidRDefault="00A6208A" w:rsidP="00A6208A">
      <w:pPr>
        <w:ind w:left="420" w:hangingChars="200" w:hanging="420"/>
        <w:rPr>
          <w:rFonts w:asciiTheme="majorEastAsia" w:eastAsiaTheme="majorEastAsia" w:hAnsiTheme="majorEastAsia"/>
          <w:u w:val="single"/>
        </w:rPr>
      </w:pPr>
      <w:r w:rsidRPr="00486E0B">
        <w:rPr>
          <w:rFonts w:asciiTheme="majorEastAsia" w:eastAsiaTheme="majorEastAsia" w:hAnsiTheme="majorEastAsia" w:hint="eastAsia"/>
          <w:u w:val="single"/>
        </w:rPr>
        <w:t>Ｑ23　地域密着型サービスの市町村独自加算については、介護従事者処遇改善加算の算定における介護報酬総単位数に含めてよいか。</w:t>
      </w:r>
    </w:p>
    <w:p w:rsidR="00A6208A" w:rsidRDefault="00A6208A" w:rsidP="00A6208A">
      <w:pPr>
        <w:ind w:left="420" w:hangingChars="200" w:hanging="420"/>
      </w:pPr>
    </w:p>
    <w:p w:rsidR="00A6208A" w:rsidRDefault="00A6208A" w:rsidP="00A6208A">
      <w:pPr>
        <w:ind w:leftChars="200" w:left="420" w:firstLineChars="100" w:firstLine="210"/>
      </w:pPr>
      <w:r w:rsidRPr="00486E0B">
        <w:rPr>
          <w:rFonts w:hint="eastAsia"/>
        </w:rPr>
        <w:t>介護報酬総単位数に含める取扱いとなる。</w:t>
      </w:r>
    </w:p>
    <w:p w:rsidR="00BD210C" w:rsidRDefault="00BD210C" w:rsidP="002A5AF5">
      <w:pPr>
        <w:widowControl/>
        <w:jc w:val="left"/>
        <w:rPr>
          <w:rFonts w:hint="eastAsia"/>
          <w:b/>
          <w:sz w:val="24"/>
        </w:rPr>
      </w:pPr>
    </w:p>
    <w:tbl>
      <w:tblPr>
        <w:tblStyle w:val="a4"/>
        <w:tblW w:w="0" w:type="auto"/>
        <w:tblLook w:val="04A0" w:firstRow="1" w:lastRow="0" w:firstColumn="1" w:lastColumn="0" w:noHBand="0" w:noVBand="1"/>
      </w:tblPr>
      <w:tblGrid>
        <w:gridCol w:w="10194"/>
      </w:tblGrid>
      <w:tr w:rsidR="00193923" w:rsidTr="00691736">
        <w:tc>
          <w:tcPr>
            <w:tcW w:w="10194" w:type="dxa"/>
            <w:tcBorders>
              <w:top w:val="nil"/>
              <w:left w:val="nil"/>
              <w:bottom w:val="nil"/>
              <w:right w:val="nil"/>
            </w:tcBorders>
            <w:shd w:val="clear" w:color="auto" w:fill="BDD6EE" w:themeFill="accent5" w:themeFillTint="66"/>
          </w:tcPr>
          <w:p w:rsidR="00193923" w:rsidRPr="009B5869" w:rsidRDefault="00193923" w:rsidP="00193923">
            <w:pPr>
              <w:ind w:firstLineChars="100" w:firstLine="240"/>
              <w:rPr>
                <w:rFonts w:asciiTheme="majorEastAsia" w:eastAsiaTheme="majorEastAsia" w:hAnsiTheme="majorEastAsia"/>
                <w:sz w:val="26"/>
                <w:szCs w:val="26"/>
              </w:rPr>
            </w:pPr>
            <w:r>
              <w:rPr>
                <w:rFonts w:asciiTheme="majorEastAsia" w:eastAsiaTheme="majorEastAsia" w:hAnsiTheme="majorEastAsia" w:hint="eastAsia"/>
                <w:sz w:val="24"/>
                <w:szCs w:val="26"/>
              </w:rPr>
              <w:t>5</w:t>
            </w:r>
            <w:r>
              <w:rPr>
                <w:rFonts w:asciiTheme="majorEastAsia" w:eastAsiaTheme="majorEastAsia" w:hAnsiTheme="majorEastAsia"/>
                <w:sz w:val="24"/>
                <w:szCs w:val="26"/>
              </w:rPr>
              <w:t>.</w:t>
            </w:r>
            <w:r>
              <w:rPr>
                <w:rFonts w:asciiTheme="majorEastAsia" w:eastAsiaTheme="majorEastAsia" w:hAnsiTheme="majorEastAsia" w:hint="eastAsia"/>
                <w:sz w:val="24"/>
                <w:szCs w:val="26"/>
              </w:rPr>
              <w:t>6</w:t>
            </w:r>
            <w:r w:rsidRPr="001D6B2C">
              <w:rPr>
                <w:rFonts w:asciiTheme="majorEastAsia" w:eastAsiaTheme="majorEastAsia" w:hAnsiTheme="majorEastAsia"/>
                <w:sz w:val="24"/>
                <w:szCs w:val="26"/>
              </w:rPr>
              <w:t xml:space="preserve">　</w:t>
            </w:r>
            <w:r>
              <w:rPr>
                <w:rFonts w:asciiTheme="majorEastAsia" w:eastAsiaTheme="majorEastAsia" w:hAnsiTheme="majorEastAsia" w:hint="eastAsia"/>
                <w:sz w:val="24"/>
                <w:szCs w:val="26"/>
              </w:rPr>
              <w:t>「介護予防・日常生活支援総合事業に係る</w:t>
            </w:r>
            <w:r>
              <w:rPr>
                <w:rFonts w:asciiTheme="majorEastAsia" w:eastAsiaTheme="majorEastAsia" w:hAnsiTheme="majorEastAsia" w:hint="eastAsia"/>
                <w:sz w:val="24"/>
                <w:szCs w:val="26"/>
              </w:rPr>
              <w:t>Ｑ＆Ａ</w:t>
            </w:r>
            <w:r>
              <w:rPr>
                <w:rFonts w:asciiTheme="majorEastAsia" w:eastAsiaTheme="majorEastAsia" w:hAnsiTheme="majorEastAsia" w:hint="eastAsia"/>
                <w:sz w:val="24"/>
                <w:szCs w:val="26"/>
              </w:rPr>
              <w:t>」</w:t>
            </w:r>
            <w:r>
              <w:rPr>
                <w:rFonts w:asciiTheme="majorEastAsia" w:eastAsiaTheme="majorEastAsia" w:hAnsiTheme="majorEastAsia" w:hint="eastAsia"/>
                <w:sz w:val="24"/>
                <w:szCs w:val="26"/>
              </w:rPr>
              <w:t xml:space="preserve"> 抜粋</w:t>
            </w:r>
          </w:p>
        </w:tc>
      </w:tr>
    </w:tbl>
    <w:p w:rsidR="00193923" w:rsidRDefault="00193923" w:rsidP="002A5AF5">
      <w:pPr>
        <w:widowControl/>
        <w:jc w:val="left"/>
        <w:rPr>
          <w:rFonts w:hint="eastAsia"/>
          <w:b/>
          <w:sz w:val="24"/>
        </w:rPr>
      </w:pPr>
    </w:p>
    <w:p w:rsidR="00193923" w:rsidRPr="00193923" w:rsidRDefault="00193923" w:rsidP="00193923">
      <w:pPr>
        <w:widowControl/>
        <w:ind w:left="420" w:hangingChars="200" w:hanging="420"/>
        <w:jc w:val="left"/>
        <w:rPr>
          <w:rFonts w:asciiTheme="majorEastAsia" w:eastAsiaTheme="majorEastAsia" w:hAnsiTheme="majorEastAsia" w:hint="eastAsia"/>
          <w:szCs w:val="21"/>
          <w:u w:val="single"/>
        </w:rPr>
      </w:pPr>
      <w:r w:rsidRPr="00193923">
        <w:rPr>
          <w:rFonts w:asciiTheme="majorEastAsia" w:eastAsiaTheme="majorEastAsia" w:hAnsiTheme="majorEastAsia" w:hint="eastAsia"/>
          <w:szCs w:val="21"/>
          <w:u w:val="single"/>
        </w:rPr>
        <w:t>問１　介護予防・日常生活支援総合事業における旧介護予防訪問介護に相当するサービス又は旧介護予防通所介護に相当するサービスの加算については、旧介護予防訪問介護又は旧介護予防通所介護の例による</w:t>
      </w:r>
      <w:bookmarkStart w:id="0" w:name="_GoBack"/>
      <w:bookmarkEnd w:id="0"/>
      <w:r w:rsidRPr="00193923">
        <w:rPr>
          <w:rFonts w:asciiTheme="majorEastAsia" w:eastAsiaTheme="majorEastAsia" w:hAnsiTheme="majorEastAsia" w:hint="eastAsia"/>
          <w:szCs w:val="21"/>
          <w:u w:val="single"/>
        </w:rPr>
        <w:t>こととされているが、介護職員処遇改善加算の届出についての取扱い如何。また、緩和した基準によるサービスについてはどうか。</w:t>
      </w:r>
    </w:p>
    <w:p w:rsidR="00193923" w:rsidRDefault="00193923" w:rsidP="002A5AF5">
      <w:pPr>
        <w:widowControl/>
        <w:jc w:val="left"/>
        <w:rPr>
          <w:rFonts w:hint="eastAsia"/>
          <w:sz w:val="22"/>
        </w:rPr>
      </w:pPr>
    </w:p>
    <w:p w:rsidR="00193923" w:rsidRDefault="00193923" w:rsidP="002A5AF5">
      <w:pPr>
        <w:widowControl/>
        <w:jc w:val="left"/>
        <w:rPr>
          <w:rFonts w:hint="eastAsia"/>
          <w:szCs w:val="21"/>
        </w:rPr>
      </w:pPr>
      <w:r>
        <w:rPr>
          <w:rFonts w:hint="eastAsia"/>
          <w:szCs w:val="21"/>
        </w:rPr>
        <w:t xml:space="preserve">　　１　みなし指定の事業者以外の指定事業者については、次のとおりとする。</w:t>
      </w:r>
    </w:p>
    <w:p w:rsidR="00193923" w:rsidRDefault="00193923" w:rsidP="00193923">
      <w:pPr>
        <w:widowControl/>
        <w:ind w:left="1050" w:hangingChars="500" w:hanging="1050"/>
        <w:jc w:val="left"/>
        <w:rPr>
          <w:rFonts w:hint="eastAsia"/>
          <w:szCs w:val="21"/>
        </w:rPr>
      </w:pPr>
      <w:r>
        <w:rPr>
          <w:rFonts w:hint="eastAsia"/>
          <w:szCs w:val="21"/>
        </w:rPr>
        <w:t xml:space="preserve">　　　</w:t>
      </w:r>
      <w:r>
        <w:rPr>
          <w:rFonts w:hint="eastAsia"/>
          <w:szCs w:val="21"/>
        </w:rPr>
        <w:t>(</w:t>
      </w:r>
      <w:r>
        <w:rPr>
          <w:rFonts w:hint="eastAsia"/>
          <w:szCs w:val="21"/>
        </w:rPr>
        <w:t>１</w:t>
      </w:r>
      <w:r>
        <w:rPr>
          <w:rFonts w:hint="eastAsia"/>
          <w:szCs w:val="21"/>
        </w:rPr>
        <w:t>)</w:t>
      </w:r>
      <w:r>
        <w:rPr>
          <w:rFonts w:hint="eastAsia"/>
          <w:szCs w:val="21"/>
        </w:rPr>
        <w:t xml:space="preserve">　訪問型サービス又は通所型サービスのみの指定事業者については、「介護職員処遇改善加算に関する基本的考え方並びに事務処理手順及び様式例の提示について</w:t>
      </w:r>
      <w:r>
        <w:rPr>
          <w:rFonts w:hint="eastAsia"/>
          <w:szCs w:val="21"/>
        </w:rPr>
        <w:t>(</w:t>
      </w:r>
      <w:r w:rsidRPr="00193923">
        <w:rPr>
          <w:rFonts w:hint="eastAsia"/>
          <w:szCs w:val="21"/>
        </w:rPr>
        <w:t>平成</w:t>
      </w:r>
      <w:r>
        <w:rPr>
          <w:rFonts w:hint="eastAsia"/>
          <w:szCs w:val="21"/>
        </w:rPr>
        <w:t>29</w:t>
      </w:r>
      <w:r>
        <w:rPr>
          <w:rFonts w:hint="eastAsia"/>
          <w:szCs w:val="21"/>
        </w:rPr>
        <w:t>年</w:t>
      </w:r>
      <w:r>
        <w:rPr>
          <w:rFonts w:hint="eastAsia"/>
          <w:szCs w:val="21"/>
        </w:rPr>
        <w:t>3</w:t>
      </w:r>
      <w:r>
        <w:rPr>
          <w:rFonts w:hint="eastAsia"/>
          <w:szCs w:val="21"/>
        </w:rPr>
        <w:t>月</w:t>
      </w:r>
      <w:r>
        <w:rPr>
          <w:rFonts w:hint="eastAsia"/>
          <w:szCs w:val="21"/>
        </w:rPr>
        <w:t>9</w:t>
      </w:r>
      <w:r w:rsidRPr="00193923">
        <w:rPr>
          <w:rFonts w:hint="eastAsia"/>
          <w:szCs w:val="21"/>
        </w:rPr>
        <w:t>日</w:t>
      </w:r>
      <w:r>
        <w:rPr>
          <w:rFonts w:hint="eastAsia"/>
          <w:szCs w:val="21"/>
        </w:rPr>
        <w:t>老発</w:t>
      </w:r>
      <w:r>
        <w:rPr>
          <w:rFonts w:hint="eastAsia"/>
          <w:szCs w:val="21"/>
        </w:rPr>
        <w:t>0331</w:t>
      </w:r>
      <w:r>
        <w:rPr>
          <w:rFonts w:hint="eastAsia"/>
          <w:szCs w:val="21"/>
        </w:rPr>
        <w:t>第</w:t>
      </w:r>
      <w:r>
        <w:rPr>
          <w:rFonts w:hint="eastAsia"/>
          <w:szCs w:val="21"/>
        </w:rPr>
        <w:t>34</w:t>
      </w:r>
      <w:r w:rsidRPr="00193923">
        <w:rPr>
          <w:rFonts w:hint="eastAsia"/>
          <w:szCs w:val="21"/>
        </w:rPr>
        <w:t>号</w:t>
      </w:r>
      <w:r>
        <w:rPr>
          <w:rFonts w:hint="eastAsia"/>
          <w:szCs w:val="21"/>
        </w:rPr>
        <w:t>厚生労働省老健局長</w:t>
      </w:r>
      <w:r>
        <w:rPr>
          <w:rFonts w:hint="eastAsia"/>
          <w:szCs w:val="21"/>
        </w:rPr>
        <w:t>)</w:t>
      </w:r>
      <w:r>
        <w:rPr>
          <w:rFonts w:hint="eastAsia"/>
          <w:szCs w:val="21"/>
        </w:rPr>
        <w:t>」に準じて、市町に届出るものとする。</w:t>
      </w:r>
    </w:p>
    <w:p w:rsidR="00193923" w:rsidRDefault="00193923" w:rsidP="00193923">
      <w:pPr>
        <w:widowControl/>
        <w:ind w:left="1050" w:hangingChars="500" w:hanging="1050"/>
        <w:jc w:val="left"/>
        <w:rPr>
          <w:rFonts w:hint="eastAsia"/>
          <w:szCs w:val="21"/>
        </w:rPr>
      </w:pPr>
      <w:r>
        <w:rPr>
          <w:rFonts w:hint="eastAsia"/>
          <w:szCs w:val="21"/>
        </w:rPr>
        <w:t xml:space="preserve">　　　</w:t>
      </w:r>
      <w:r>
        <w:rPr>
          <w:rFonts w:hint="eastAsia"/>
          <w:szCs w:val="21"/>
        </w:rPr>
        <w:t>(</w:t>
      </w:r>
      <w:r>
        <w:rPr>
          <w:rFonts w:hint="eastAsia"/>
          <w:szCs w:val="21"/>
        </w:rPr>
        <w:t>２</w:t>
      </w:r>
      <w:r>
        <w:rPr>
          <w:rFonts w:hint="eastAsia"/>
          <w:szCs w:val="21"/>
        </w:rPr>
        <w:t>)</w:t>
      </w:r>
      <w:r>
        <w:rPr>
          <w:rFonts w:hint="eastAsia"/>
          <w:szCs w:val="21"/>
        </w:rPr>
        <w:t xml:space="preserve">　介護給付と訪問型サービス又は通所型サービスを一体的に実施している場合は、</w:t>
      </w:r>
      <w:r w:rsidRPr="00193923">
        <w:rPr>
          <w:rFonts w:hint="eastAsia"/>
          <w:szCs w:val="21"/>
        </w:rPr>
        <w:t>「介護職員</w:t>
      </w:r>
      <w:r>
        <w:rPr>
          <w:rFonts w:hint="eastAsia"/>
          <w:szCs w:val="21"/>
        </w:rPr>
        <w:t>処遇改善加算に関する基本的考え方並びに事務処理手順及び様式例の提示に</w:t>
      </w:r>
      <w:r w:rsidRPr="00193923">
        <w:rPr>
          <w:rFonts w:hint="eastAsia"/>
          <w:szCs w:val="21"/>
        </w:rPr>
        <w:t>ついて</w:t>
      </w:r>
      <w:r w:rsidRPr="00193923">
        <w:rPr>
          <w:rFonts w:hint="eastAsia"/>
          <w:szCs w:val="21"/>
        </w:rPr>
        <w:t>(</w:t>
      </w:r>
      <w:r w:rsidRPr="00193923">
        <w:rPr>
          <w:rFonts w:hint="eastAsia"/>
          <w:szCs w:val="21"/>
        </w:rPr>
        <w:t>平成</w:t>
      </w:r>
      <w:r w:rsidRPr="00193923">
        <w:rPr>
          <w:rFonts w:hint="eastAsia"/>
          <w:szCs w:val="21"/>
        </w:rPr>
        <w:t>29</w:t>
      </w:r>
      <w:r w:rsidRPr="00193923">
        <w:rPr>
          <w:rFonts w:hint="eastAsia"/>
          <w:szCs w:val="21"/>
        </w:rPr>
        <w:t>年</w:t>
      </w:r>
      <w:r w:rsidRPr="00193923">
        <w:rPr>
          <w:rFonts w:hint="eastAsia"/>
          <w:szCs w:val="21"/>
        </w:rPr>
        <w:t>3</w:t>
      </w:r>
      <w:r w:rsidRPr="00193923">
        <w:rPr>
          <w:rFonts w:hint="eastAsia"/>
          <w:szCs w:val="21"/>
        </w:rPr>
        <w:t>月</w:t>
      </w:r>
      <w:r w:rsidRPr="00193923">
        <w:rPr>
          <w:rFonts w:hint="eastAsia"/>
          <w:szCs w:val="21"/>
        </w:rPr>
        <w:t>9</w:t>
      </w:r>
      <w:r w:rsidRPr="00193923">
        <w:rPr>
          <w:rFonts w:hint="eastAsia"/>
          <w:szCs w:val="21"/>
        </w:rPr>
        <w:t>日老発</w:t>
      </w:r>
      <w:r w:rsidRPr="00193923">
        <w:rPr>
          <w:rFonts w:hint="eastAsia"/>
          <w:szCs w:val="21"/>
        </w:rPr>
        <w:t>0331</w:t>
      </w:r>
      <w:r w:rsidRPr="00193923">
        <w:rPr>
          <w:rFonts w:hint="eastAsia"/>
          <w:szCs w:val="21"/>
        </w:rPr>
        <w:t>第</w:t>
      </w:r>
      <w:r w:rsidRPr="00193923">
        <w:rPr>
          <w:rFonts w:hint="eastAsia"/>
          <w:szCs w:val="21"/>
        </w:rPr>
        <w:t>34</w:t>
      </w:r>
      <w:r w:rsidRPr="00193923">
        <w:rPr>
          <w:rFonts w:hint="eastAsia"/>
          <w:szCs w:val="21"/>
        </w:rPr>
        <w:t>号厚生労働省老健局長</w:t>
      </w:r>
      <w:r w:rsidRPr="00193923">
        <w:rPr>
          <w:rFonts w:hint="eastAsia"/>
          <w:szCs w:val="21"/>
        </w:rPr>
        <w:t>)</w:t>
      </w:r>
      <w:r w:rsidRPr="00193923">
        <w:rPr>
          <w:rFonts w:hint="eastAsia"/>
          <w:szCs w:val="21"/>
        </w:rPr>
        <w:t>」</w:t>
      </w:r>
      <w:r>
        <w:rPr>
          <w:rFonts w:hint="eastAsia"/>
          <w:szCs w:val="21"/>
        </w:rPr>
        <w:t>に準じて、介護給付の介護職員処遇改善加算の届出先が都道府県である場合は、都道府県へ届出を行うとともに、当該届出の写しを市町へ届け出ることとする。（届出先が市長である場合は、市町へ届出を行うのみでよい。）</w:t>
      </w:r>
    </w:p>
    <w:p w:rsidR="00193923" w:rsidRDefault="00193923" w:rsidP="00193923">
      <w:pPr>
        <w:widowControl/>
        <w:ind w:left="1050" w:hangingChars="500" w:hanging="1050"/>
        <w:jc w:val="left"/>
        <w:rPr>
          <w:rFonts w:hint="eastAsia"/>
          <w:szCs w:val="21"/>
        </w:rPr>
      </w:pPr>
      <w:r>
        <w:rPr>
          <w:rFonts w:hint="eastAsia"/>
          <w:szCs w:val="21"/>
        </w:rPr>
        <w:t xml:space="preserve">　　</w:t>
      </w:r>
    </w:p>
    <w:p w:rsidR="00834BC3" w:rsidRDefault="00834BC3" w:rsidP="00193923">
      <w:pPr>
        <w:widowControl/>
        <w:ind w:left="1050" w:hangingChars="500" w:hanging="1050"/>
        <w:jc w:val="left"/>
        <w:rPr>
          <w:rFonts w:hint="eastAsia"/>
          <w:szCs w:val="21"/>
        </w:rPr>
      </w:pPr>
      <w:r>
        <w:rPr>
          <w:rFonts w:hint="eastAsia"/>
          <w:szCs w:val="21"/>
        </w:rPr>
        <w:t xml:space="preserve">　　　※みなし指定の事業者については、既に示しているとおり、介護予防訪問介護又は、介護予防通所介護の介護職員処遇改善加算に関する届出が都道府県又は政令指定都市・中核市に行われ、別紙等が添付されている場合は、市町村への届け出及び別紙等の添付は不要としている。</w:t>
      </w:r>
    </w:p>
    <w:p w:rsidR="00834BC3" w:rsidRDefault="00834BC3" w:rsidP="00193923">
      <w:pPr>
        <w:widowControl/>
        <w:ind w:left="1050" w:hangingChars="500" w:hanging="1050"/>
        <w:jc w:val="left"/>
        <w:rPr>
          <w:rFonts w:hint="eastAsia"/>
          <w:szCs w:val="21"/>
        </w:rPr>
      </w:pPr>
      <w:r>
        <w:rPr>
          <w:rFonts w:hint="eastAsia"/>
          <w:szCs w:val="21"/>
        </w:rPr>
        <w:t xml:space="preserve">　　　　　</w:t>
      </w:r>
      <w:r>
        <w:rPr>
          <w:rFonts w:hint="eastAsia"/>
          <w:szCs w:val="21"/>
        </w:rPr>
        <w:t>(</w:t>
      </w:r>
      <w:r>
        <w:rPr>
          <w:rFonts w:hint="eastAsia"/>
          <w:szCs w:val="21"/>
        </w:rPr>
        <w:t>みなし指定については平成</w:t>
      </w:r>
      <w:r>
        <w:rPr>
          <w:rFonts w:hint="eastAsia"/>
          <w:szCs w:val="21"/>
        </w:rPr>
        <w:t>30</w:t>
      </w:r>
      <w:r>
        <w:rPr>
          <w:rFonts w:hint="eastAsia"/>
          <w:szCs w:val="21"/>
        </w:rPr>
        <w:t>年</w:t>
      </w:r>
      <w:r>
        <w:rPr>
          <w:rFonts w:hint="eastAsia"/>
          <w:szCs w:val="21"/>
        </w:rPr>
        <w:t>3</w:t>
      </w:r>
      <w:r>
        <w:rPr>
          <w:rFonts w:hint="eastAsia"/>
          <w:szCs w:val="21"/>
        </w:rPr>
        <w:t>月末まで</w:t>
      </w:r>
      <w:r>
        <w:rPr>
          <w:rFonts w:hint="eastAsia"/>
          <w:szCs w:val="21"/>
        </w:rPr>
        <w:t>)</w:t>
      </w:r>
    </w:p>
    <w:p w:rsidR="00834BC3" w:rsidRDefault="00834BC3" w:rsidP="00193923">
      <w:pPr>
        <w:widowControl/>
        <w:ind w:left="1050" w:hangingChars="500" w:hanging="1050"/>
        <w:jc w:val="left"/>
        <w:rPr>
          <w:rFonts w:hint="eastAsia"/>
          <w:szCs w:val="21"/>
        </w:rPr>
      </w:pPr>
    </w:p>
    <w:p w:rsidR="00193923" w:rsidRPr="00193923" w:rsidRDefault="00193923" w:rsidP="00193923">
      <w:pPr>
        <w:widowControl/>
        <w:ind w:leftChars="200" w:left="1050" w:hangingChars="300" w:hanging="630"/>
        <w:jc w:val="left"/>
        <w:rPr>
          <w:rFonts w:hint="eastAsia"/>
          <w:szCs w:val="21"/>
        </w:rPr>
      </w:pPr>
      <w:r>
        <w:rPr>
          <w:rFonts w:hint="eastAsia"/>
          <w:szCs w:val="21"/>
        </w:rPr>
        <w:t>２　なお、緩和した基準によるサービス（訪問型サービスＡ、通所型サービスＡ）</w:t>
      </w:r>
      <w:r w:rsidR="00834BC3">
        <w:rPr>
          <w:rFonts w:hint="eastAsia"/>
          <w:szCs w:val="21"/>
        </w:rPr>
        <w:t>については、市町の定める取扱いにより市町へ届け出る。</w:t>
      </w:r>
    </w:p>
    <w:p w:rsidR="00193923" w:rsidRDefault="00193923" w:rsidP="002A5AF5">
      <w:pPr>
        <w:widowControl/>
        <w:jc w:val="left"/>
        <w:rPr>
          <w:rFonts w:hint="eastAsia"/>
          <w:sz w:val="22"/>
        </w:rPr>
      </w:pPr>
    </w:p>
    <w:p w:rsidR="00834BC3" w:rsidRPr="00193923" w:rsidRDefault="00834BC3" w:rsidP="002A5AF5">
      <w:pPr>
        <w:widowControl/>
        <w:jc w:val="left"/>
        <w:rPr>
          <w:sz w:val="22"/>
        </w:rPr>
      </w:pPr>
      <w:r>
        <w:rPr>
          <w:rFonts w:hint="eastAsia"/>
          <w:sz w:val="22"/>
        </w:rPr>
        <w:t xml:space="preserve">　　</w:t>
      </w:r>
    </w:p>
    <w:sectPr w:rsidR="00834BC3" w:rsidRPr="00193923" w:rsidSect="00E15CBD">
      <w:headerReference w:type="default" r:id="rId33"/>
      <w:footerReference w:type="default" r:id="rId34"/>
      <w:pgSz w:w="11906" w:h="16838"/>
      <w:pgMar w:top="851" w:right="851" w:bottom="851" w:left="851" w:header="397" w:footer="283" w:gutter="0"/>
      <w:pgNumType w:start="73"/>
      <w:cols w:space="425"/>
      <w:docGrid w:type="linesAndChar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D69AA" w:rsidRDefault="002D69AA" w:rsidP="007C6E3D">
      <w:r>
        <w:separator/>
      </w:r>
    </w:p>
  </w:endnote>
  <w:endnote w:type="continuationSeparator" w:id="0">
    <w:p w:rsidR="002D69AA" w:rsidRDefault="002D69AA" w:rsidP="007C6E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ＭＳ 明朝">
    <w:altName w:val="MS Mincho"/>
    <w:panose1 w:val="02020609040205080304"/>
    <w:charset w:val="80"/>
    <w:family w:val="roma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ＭＳ">
    <w:altName w:val="Arial Unicode MS"/>
    <w:panose1 w:val="00000000000000000000"/>
    <w:charset w:val="80"/>
    <w:family w:val="swiss"/>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46696788"/>
      <w:docPartObj>
        <w:docPartGallery w:val="Page Numbers (Bottom of Page)"/>
        <w:docPartUnique/>
      </w:docPartObj>
    </w:sdtPr>
    <w:sdtEndPr/>
    <w:sdtContent>
      <w:p w:rsidR="00FC4967" w:rsidRDefault="0030392D" w:rsidP="003D6646">
        <w:pPr>
          <w:pStyle w:val="aa"/>
          <w:jc w:val="center"/>
        </w:pPr>
        <w:r>
          <w:rPr>
            <w:noProof/>
          </w:rPr>
          <mc:AlternateContent>
            <mc:Choice Requires="wpg">
              <w:drawing>
                <wp:anchor distT="0" distB="0" distL="114300" distR="114300" simplePos="0" relativeHeight="251659264" behindDoc="0" locked="0" layoutInCell="1" allowOverlap="1">
                  <wp:simplePos x="0" y="0"/>
                  <wp:positionH relativeFrom="page">
                    <wp:posOffset>11575</wp:posOffset>
                  </wp:positionH>
                  <wp:positionV relativeFrom="bottomMargin">
                    <wp:posOffset>161298</wp:posOffset>
                  </wp:positionV>
                  <wp:extent cx="7538875" cy="213360"/>
                  <wp:effectExtent l="0" t="0" r="5080" b="15240"/>
                  <wp:wrapNone/>
                  <wp:docPr id="30" name="グループ化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38875" cy="213360"/>
                            <a:chOff x="0" y="14970"/>
                            <a:chExt cx="11916" cy="336"/>
                          </a:xfrm>
                        </wpg:grpSpPr>
                        <wps:wsp>
                          <wps:cNvPr id="31" name="Text Box 25"/>
                          <wps:cNvSpPr txBox="1">
                            <a:spLocks noChangeArrowheads="1"/>
                          </wps:cNvSpPr>
                          <wps:spPr bwMode="auto">
                            <a:xfrm>
                              <a:off x="5752" y="15018"/>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392D" w:rsidRPr="004C5579" w:rsidRDefault="0030392D">
                                <w:pPr>
                                  <w:jc w:val="center"/>
                                </w:pPr>
                                <w:r w:rsidRPr="004C5579">
                                  <w:fldChar w:fldCharType="begin"/>
                                </w:r>
                                <w:r w:rsidRPr="004C5579">
                                  <w:instrText>PAGE    \* MERGEFORMAT</w:instrText>
                                </w:r>
                                <w:r w:rsidRPr="004C5579">
                                  <w:fldChar w:fldCharType="separate"/>
                                </w:r>
                                <w:r w:rsidR="003B15E5" w:rsidRPr="003B15E5">
                                  <w:rPr>
                                    <w:noProof/>
                                    <w:lang w:val="ja-JP"/>
                                  </w:rPr>
                                  <w:t>101</w:t>
                                </w:r>
                                <w:r w:rsidRPr="004C5579">
                                  <w:fldChar w:fldCharType="end"/>
                                </w:r>
                              </w:p>
                            </w:txbxContent>
                          </wps:txbx>
                          <wps:bodyPr rot="0" vert="horz" wrap="square" lIns="0" tIns="0" rIns="0" bIns="0" anchor="t" anchorCtr="0" upright="1">
                            <a:noAutofit/>
                          </wps:bodyPr>
                        </wps:wsp>
                        <wpg:grpSp>
                          <wpg:cNvPr id="32" name="Group 31"/>
                          <wpg:cNvGrpSpPr>
                            <a:grpSpLocks/>
                          </wpg:cNvGrpSpPr>
                          <wpg:grpSpPr bwMode="auto">
                            <a:xfrm flipH="1">
                              <a:off x="0" y="14970"/>
                              <a:ext cx="11916" cy="230"/>
                              <a:chOff x="331" y="14978"/>
                              <a:chExt cx="11916" cy="230"/>
                            </a:xfrm>
                          </wpg:grpSpPr>
                          <wps:wsp>
                            <wps:cNvPr id="33" name="AutoShape 27"/>
                            <wps:cNvCnPr>
                              <a:cxnSpLocks noChangeShapeType="1"/>
                            </wps:cNvCnPr>
                            <wps:spPr bwMode="auto">
                              <a:xfrm rot="10800000" flipH="1">
                                <a:off x="331" y="14978"/>
                                <a:ext cx="5824" cy="230"/>
                              </a:xfrm>
                              <a:prstGeom prst="bentConnector3">
                                <a:avLst>
                                  <a:gd name="adj1" fmla="val 93971"/>
                                </a:avLst>
                              </a:prstGeom>
                              <a:noFill/>
                              <a:ln w="9525">
                                <a:solidFill>
                                  <a:schemeClr val="accent5">
                                    <a:lumMod val="60000"/>
                                    <a:lumOff val="40000"/>
                                  </a:schemeClr>
                                </a:solidFill>
                                <a:miter lim="800000"/>
                                <a:headEnd/>
                                <a:tailEnd/>
                              </a:ln>
                              <a:extLst>
                                <a:ext uri="{909E8E84-426E-40DD-AFC4-6F175D3DCCD1}">
                                  <a14:hiddenFill xmlns:a14="http://schemas.microsoft.com/office/drawing/2010/main">
                                    <a:noFill/>
                                  </a14:hiddenFill>
                                </a:ext>
                              </a:extLst>
                            </wps:spPr>
                            <wps:bodyPr/>
                          </wps:wsp>
                          <wps:wsp>
                            <wps:cNvPr id="34" name="AutoShape 28"/>
                            <wps:cNvCnPr>
                              <a:cxnSpLocks noChangeShapeType="1"/>
                            </wps:cNvCnPr>
                            <wps:spPr bwMode="auto">
                              <a:xfrm flipH="1" flipV="1">
                                <a:off x="5990" y="14978"/>
                                <a:ext cx="6257" cy="230"/>
                              </a:xfrm>
                              <a:prstGeom prst="bentConnector3">
                                <a:avLst>
                                  <a:gd name="adj1" fmla="val 90640"/>
                                </a:avLst>
                              </a:prstGeom>
                              <a:noFill/>
                              <a:ln w="9525">
                                <a:solidFill>
                                  <a:schemeClr val="accent5">
                                    <a:lumMod val="60000"/>
                                    <a:lumOff val="40000"/>
                                  </a:schemeClr>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グループ化 30" o:spid="_x0000_s1026" style="position:absolute;left:0;text-align:left;margin-left:.9pt;margin-top:12.7pt;width:593.6pt;height:16.8pt;z-index:251659264;mso-position-horizontal-relative:page;mso-position-vertical-relative:bottom-margin-area" coordorigin=",14970" coordsize="11916,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">
                  <v:shapetype id="_x0000_t202" coordsize="21600,21600" o:spt="202" path="m,l,21600r21600,l21600,xe">
                    <v:stroke joinstyle="miter"/>
                    <v:path gradientshapeok="t" o:connecttype="rect"/>
                  </v:shapetype>
                  <v:shape id="Text Box 25" o:spid="_x0000_s1027" type="#_x0000_t202" style="position:absolute;left:5752;top:15018;width:659;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BbTMUA&#10;AADbAAAADwAAAGRycy9kb3ducmV2LnhtbESPQWvCQBSE74X+h+UVvDUbFaR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wFtMxQAAANsAAAAPAAAAAAAAAAAAAAAAAJgCAABkcnMv&#10;ZG93bnJldi54bWxQSwUGAAAAAAQABAD1AAAAigMAAAAA&#10;" filled="f" stroked="f">
                    <v:textbox inset="0,0,0,0">
                      <w:txbxContent>
                        <w:p w:rsidR="0030392D" w:rsidRPr="004C5579" w:rsidRDefault="0030392D">
                          <w:pPr>
                            <w:jc w:val="center"/>
                          </w:pPr>
                          <w:r w:rsidRPr="004C5579">
                            <w:fldChar w:fldCharType="begin"/>
                          </w:r>
                          <w:r w:rsidRPr="004C5579">
                            <w:instrText>PAGE    \* MERGEFORMAT</w:instrText>
                          </w:r>
                          <w:r w:rsidRPr="004C5579">
                            <w:fldChar w:fldCharType="separate"/>
                          </w:r>
                          <w:r w:rsidR="003B15E5" w:rsidRPr="003B15E5">
                            <w:rPr>
                              <w:noProof/>
                              <w:lang w:val="ja-JP"/>
                            </w:rPr>
                            <w:t>101</w:t>
                          </w:r>
                          <w:r w:rsidRPr="004C5579">
                            <w:fldChar w:fldCharType="end"/>
                          </w:r>
                        </w:p>
                      </w:txbxContent>
                    </v:textbox>
                  </v:shape>
                  <v:group id="Group 31" o:spid="_x0000_s1028" style="position:absolute;top:14970;width:11916;height:230;flip:x" coordorigin="331,14978" coordsize="11916,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vBwbzCAAAA2wAAAA8A&#10;AAAAAAAAAAAAAAAAqgIAAGRycy9kb3ducmV2LnhtbFBLBQYAAAAABAAEAPoAAACZAw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029" type="#_x0000_t34" style="position:absolute;left:331;top:14978;width:5824;height:230;rotation:18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7lDycMAAADbAAAADwAAAGRycy9kb3ducmV2LnhtbESPQYvCMBSE78L+h/AWvGmqBZWuUdxV&#10;cT1aFfb4bJ5tsXkpTdT6782C4HGYmW+Y6bw1lbhR40rLCgb9CARxZnXJuYLDft2bgHAeWWNlmRQ8&#10;yMF89tGZYqLtnXd0S30uAoRdggoK7+tESpcVZND1bU0cvLNtDPogm1zqBu8Bbio5jKKRNFhyWCiw&#10;pp+Cskt6NQo2p3Osv/N0+3ccHZerRX3C4X6sVPezXXyB8NT6d/jV/tUK4hj+v4QfIG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e5Q8nDAAAA2wAAAA8AAAAAAAAAAAAA&#10;AAAAoQIAAGRycy9kb3ducmV2LnhtbFBLBQYAAAAABAAEAPkAAACRAwAAAAA=&#10;" adj="20298" strokecolor="#9cc2e5 [1944]"/>
                    <v:shape id="AutoShape 28" o:spid="_x0000_s1030" type="#_x0000_t34" style="position:absolute;left:5990;top:14978;width:6257;height:23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3ev1ccAAADbAAAADwAAAGRycy9kb3ducmV2LnhtbESPT08CMRTE7yZ8h+aReJOuIIorhYj/&#10;0IMHVkLg9rJ9bDduX9e2wPrtrYmJx8nM/CYznXe2EUfyoXas4HKQgSAuna65UrD+eL6YgAgRWWPj&#10;mBR8U4D5rHc2xVy7E6/oWMRKJAiHHBWYGNtcylAashgGriVO3t55izFJX0nt8ZTgtpHDLLuWFmtO&#10;CwZbejBUfhYHq+Bwe7N83C3w/clsfdG+fW3G4+WLUuf97v4ORKQu/of/2q9awegKfr+kHyBn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Ld6/VxwAAANsAAAAPAAAAAAAA&#10;AAAAAAAAAKECAABkcnMvZG93bnJldi54bWxQSwUGAAAAAAQABAD5AAAAlQMAAAAA&#10;" adj="19578" strokecolor="#9cc2e5 [1944]"/>
                  </v:group>
                  <w10:wrap anchorx="page" anchory="margin"/>
                </v:group>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D69AA" w:rsidRDefault="002D69AA" w:rsidP="007C6E3D">
      <w:r>
        <w:separator/>
      </w:r>
    </w:p>
  </w:footnote>
  <w:footnote w:type="continuationSeparator" w:id="0">
    <w:p w:rsidR="002D69AA" w:rsidRDefault="002D69AA" w:rsidP="007C6E3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4967" w:rsidRDefault="0010192F" w:rsidP="0010192F">
    <w:pPr>
      <w:pStyle w:val="a8"/>
      <w:jc w:val="center"/>
    </w:pPr>
    <w:r>
      <w:rPr>
        <w:rFonts w:hint="eastAsia"/>
      </w:rPr>
      <w:t>第５章　関係通知・資料</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596E4F"/>
    <w:multiLevelType w:val="hybridMultilevel"/>
    <w:tmpl w:val="319C7774"/>
    <w:lvl w:ilvl="0" w:tplc="04090019">
      <w:start w:val="1"/>
      <w:numFmt w:val="irohaFullWidth"/>
      <w:lvlText w:val="%1)"/>
      <w:lvlJc w:val="left"/>
      <w:pPr>
        <w:ind w:left="1123" w:hanging="420"/>
      </w:pPr>
    </w:lvl>
    <w:lvl w:ilvl="1" w:tplc="04090017" w:tentative="1">
      <w:start w:val="1"/>
      <w:numFmt w:val="aiueoFullWidth"/>
      <w:lvlText w:val="(%2)"/>
      <w:lvlJc w:val="left"/>
      <w:pPr>
        <w:ind w:left="1543" w:hanging="420"/>
      </w:pPr>
    </w:lvl>
    <w:lvl w:ilvl="2" w:tplc="04090011" w:tentative="1">
      <w:start w:val="1"/>
      <w:numFmt w:val="decimalEnclosedCircle"/>
      <w:lvlText w:val="%3"/>
      <w:lvlJc w:val="left"/>
      <w:pPr>
        <w:ind w:left="1963" w:hanging="420"/>
      </w:pPr>
    </w:lvl>
    <w:lvl w:ilvl="3" w:tplc="0409000F" w:tentative="1">
      <w:start w:val="1"/>
      <w:numFmt w:val="decimal"/>
      <w:lvlText w:val="%4."/>
      <w:lvlJc w:val="left"/>
      <w:pPr>
        <w:ind w:left="2383" w:hanging="420"/>
      </w:pPr>
    </w:lvl>
    <w:lvl w:ilvl="4" w:tplc="04090017" w:tentative="1">
      <w:start w:val="1"/>
      <w:numFmt w:val="aiueoFullWidth"/>
      <w:lvlText w:val="(%5)"/>
      <w:lvlJc w:val="left"/>
      <w:pPr>
        <w:ind w:left="2803" w:hanging="420"/>
      </w:pPr>
    </w:lvl>
    <w:lvl w:ilvl="5" w:tplc="04090011" w:tentative="1">
      <w:start w:val="1"/>
      <w:numFmt w:val="decimalEnclosedCircle"/>
      <w:lvlText w:val="%6"/>
      <w:lvlJc w:val="left"/>
      <w:pPr>
        <w:ind w:left="3223" w:hanging="420"/>
      </w:pPr>
    </w:lvl>
    <w:lvl w:ilvl="6" w:tplc="0409000F" w:tentative="1">
      <w:start w:val="1"/>
      <w:numFmt w:val="decimal"/>
      <w:lvlText w:val="%7."/>
      <w:lvlJc w:val="left"/>
      <w:pPr>
        <w:ind w:left="3643" w:hanging="420"/>
      </w:pPr>
    </w:lvl>
    <w:lvl w:ilvl="7" w:tplc="04090017" w:tentative="1">
      <w:start w:val="1"/>
      <w:numFmt w:val="aiueoFullWidth"/>
      <w:lvlText w:val="(%8)"/>
      <w:lvlJc w:val="left"/>
      <w:pPr>
        <w:ind w:left="4063" w:hanging="420"/>
      </w:pPr>
    </w:lvl>
    <w:lvl w:ilvl="8" w:tplc="04090011" w:tentative="1">
      <w:start w:val="1"/>
      <w:numFmt w:val="decimalEnclosedCircle"/>
      <w:lvlText w:val="%9"/>
      <w:lvlJc w:val="left"/>
      <w:pPr>
        <w:ind w:left="4483" w:hanging="420"/>
      </w:pPr>
    </w:lvl>
  </w:abstractNum>
  <w:abstractNum w:abstractNumId="1">
    <w:nsid w:val="097501DE"/>
    <w:multiLevelType w:val="hybridMultilevel"/>
    <w:tmpl w:val="8F46ED30"/>
    <w:lvl w:ilvl="0" w:tplc="04090019">
      <w:start w:val="1"/>
      <w:numFmt w:val="irohaFullWidth"/>
      <w:lvlText w:val="%1)"/>
      <w:lvlJc w:val="left"/>
      <w:pPr>
        <w:ind w:left="628" w:hanging="420"/>
      </w:pPr>
    </w:lvl>
    <w:lvl w:ilvl="1" w:tplc="04090017" w:tentative="1">
      <w:start w:val="1"/>
      <w:numFmt w:val="aiueoFullWidth"/>
      <w:lvlText w:val="(%2)"/>
      <w:lvlJc w:val="left"/>
      <w:pPr>
        <w:ind w:left="1048" w:hanging="420"/>
      </w:pPr>
    </w:lvl>
    <w:lvl w:ilvl="2" w:tplc="04090011" w:tentative="1">
      <w:start w:val="1"/>
      <w:numFmt w:val="decimalEnclosedCircle"/>
      <w:lvlText w:val="%3"/>
      <w:lvlJc w:val="left"/>
      <w:pPr>
        <w:ind w:left="1468" w:hanging="420"/>
      </w:pPr>
    </w:lvl>
    <w:lvl w:ilvl="3" w:tplc="0409000F" w:tentative="1">
      <w:start w:val="1"/>
      <w:numFmt w:val="decimal"/>
      <w:lvlText w:val="%4."/>
      <w:lvlJc w:val="left"/>
      <w:pPr>
        <w:ind w:left="1888" w:hanging="420"/>
      </w:pPr>
    </w:lvl>
    <w:lvl w:ilvl="4" w:tplc="04090017" w:tentative="1">
      <w:start w:val="1"/>
      <w:numFmt w:val="aiueoFullWidth"/>
      <w:lvlText w:val="(%5)"/>
      <w:lvlJc w:val="left"/>
      <w:pPr>
        <w:ind w:left="2308" w:hanging="420"/>
      </w:pPr>
    </w:lvl>
    <w:lvl w:ilvl="5" w:tplc="04090011" w:tentative="1">
      <w:start w:val="1"/>
      <w:numFmt w:val="decimalEnclosedCircle"/>
      <w:lvlText w:val="%6"/>
      <w:lvlJc w:val="left"/>
      <w:pPr>
        <w:ind w:left="2728" w:hanging="420"/>
      </w:pPr>
    </w:lvl>
    <w:lvl w:ilvl="6" w:tplc="0409000F" w:tentative="1">
      <w:start w:val="1"/>
      <w:numFmt w:val="decimal"/>
      <w:lvlText w:val="%7."/>
      <w:lvlJc w:val="left"/>
      <w:pPr>
        <w:ind w:left="3148" w:hanging="420"/>
      </w:pPr>
    </w:lvl>
    <w:lvl w:ilvl="7" w:tplc="04090017" w:tentative="1">
      <w:start w:val="1"/>
      <w:numFmt w:val="aiueoFullWidth"/>
      <w:lvlText w:val="(%8)"/>
      <w:lvlJc w:val="left"/>
      <w:pPr>
        <w:ind w:left="3568" w:hanging="420"/>
      </w:pPr>
    </w:lvl>
    <w:lvl w:ilvl="8" w:tplc="04090011" w:tentative="1">
      <w:start w:val="1"/>
      <w:numFmt w:val="decimalEnclosedCircle"/>
      <w:lvlText w:val="%9"/>
      <w:lvlJc w:val="left"/>
      <w:pPr>
        <w:ind w:left="3988" w:hanging="420"/>
      </w:pPr>
    </w:lvl>
  </w:abstractNum>
  <w:abstractNum w:abstractNumId="2">
    <w:nsid w:val="09F82804"/>
    <w:multiLevelType w:val="hybridMultilevel"/>
    <w:tmpl w:val="174C1DF6"/>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nsid w:val="10EF4475"/>
    <w:multiLevelType w:val="hybridMultilevel"/>
    <w:tmpl w:val="08DC3918"/>
    <w:lvl w:ilvl="0" w:tplc="B10EFA54">
      <w:start w:val="1"/>
      <w:numFmt w:val="bullet"/>
      <w:lvlText w:val=""/>
      <w:lvlJc w:val="left"/>
      <w:pPr>
        <w:tabs>
          <w:tab w:val="num" w:pos="720"/>
        </w:tabs>
        <w:ind w:left="720" w:hanging="360"/>
      </w:pPr>
      <w:rPr>
        <w:rFonts w:ascii="Wingdings" w:hAnsi="Wingdings" w:hint="default"/>
      </w:rPr>
    </w:lvl>
    <w:lvl w:ilvl="1" w:tplc="23805586" w:tentative="1">
      <w:start w:val="1"/>
      <w:numFmt w:val="bullet"/>
      <w:lvlText w:val=""/>
      <w:lvlJc w:val="left"/>
      <w:pPr>
        <w:tabs>
          <w:tab w:val="num" w:pos="1440"/>
        </w:tabs>
        <w:ind w:left="1440" w:hanging="360"/>
      </w:pPr>
      <w:rPr>
        <w:rFonts w:ascii="Wingdings" w:hAnsi="Wingdings" w:hint="default"/>
      </w:rPr>
    </w:lvl>
    <w:lvl w:ilvl="2" w:tplc="47142462" w:tentative="1">
      <w:start w:val="1"/>
      <w:numFmt w:val="bullet"/>
      <w:lvlText w:val=""/>
      <w:lvlJc w:val="left"/>
      <w:pPr>
        <w:tabs>
          <w:tab w:val="num" w:pos="2160"/>
        </w:tabs>
        <w:ind w:left="2160" w:hanging="360"/>
      </w:pPr>
      <w:rPr>
        <w:rFonts w:ascii="Wingdings" w:hAnsi="Wingdings" w:hint="default"/>
      </w:rPr>
    </w:lvl>
    <w:lvl w:ilvl="3" w:tplc="37123B66" w:tentative="1">
      <w:start w:val="1"/>
      <w:numFmt w:val="bullet"/>
      <w:lvlText w:val=""/>
      <w:lvlJc w:val="left"/>
      <w:pPr>
        <w:tabs>
          <w:tab w:val="num" w:pos="2880"/>
        </w:tabs>
        <w:ind w:left="2880" w:hanging="360"/>
      </w:pPr>
      <w:rPr>
        <w:rFonts w:ascii="Wingdings" w:hAnsi="Wingdings" w:hint="default"/>
      </w:rPr>
    </w:lvl>
    <w:lvl w:ilvl="4" w:tplc="06BEFFFA" w:tentative="1">
      <w:start w:val="1"/>
      <w:numFmt w:val="bullet"/>
      <w:lvlText w:val=""/>
      <w:lvlJc w:val="left"/>
      <w:pPr>
        <w:tabs>
          <w:tab w:val="num" w:pos="3600"/>
        </w:tabs>
        <w:ind w:left="3600" w:hanging="360"/>
      </w:pPr>
      <w:rPr>
        <w:rFonts w:ascii="Wingdings" w:hAnsi="Wingdings" w:hint="default"/>
      </w:rPr>
    </w:lvl>
    <w:lvl w:ilvl="5" w:tplc="AF8C1440" w:tentative="1">
      <w:start w:val="1"/>
      <w:numFmt w:val="bullet"/>
      <w:lvlText w:val=""/>
      <w:lvlJc w:val="left"/>
      <w:pPr>
        <w:tabs>
          <w:tab w:val="num" w:pos="4320"/>
        </w:tabs>
        <w:ind w:left="4320" w:hanging="360"/>
      </w:pPr>
      <w:rPr>
        <w:rFonts w:ascii="Wingdings" w:hAnsi="Wingdings" w:hint="default"/>
      </w:rPr>
    </w:lvl>
    <w:lvl w:ilvl="6" w:tplc="37A2AD7A" w:tentative="1">
      <w:start w:val="1"/>
      <w:numFmt w:val="bullet"/>
      <w:lvlText w:val=""/>
      <w:lvlJc w:val="left"/>
      <w:pPr>
        <w:tabs>
          <w:tab w:val="num" w:pos="5040"/>
        </w:tabs>
        <w:ind w:left="5040" w:hanging="360"/>
      </w:pPr>
      <w:rPr>
        <w:rFonts w:ascii="Wingdings" w:hAnsi="Wingdings" w:hint="default"/>
      </w:rPr>
    </w:lvl>
    <w:lvl w:ilvl="7" w:tplc="D682F282" w:tentative="1">
      <w:start w:val="1"/>
      <w:numFmt w:val="bullet"/>
      <w:lvlText w:val=""/>
      <w:lvlJc w:val="left"/>
      <w:pPr>
        <w:tabs>
          <w:tab w:val="num" w:pos="5760"/>
        </w:tabs>
        <w:ind w:left="5760" w:hanging="360"/>
      </w:pPr>
      <w:rPr>
        <w:rFonts w:ascii="Wingdings" w:hAnsi="Wingdings" w:hint="default"/>
      </w:rPr>
    </w:lvl>
    <w:lvl w:ilvl="8" w:tplc="FCD40C06" w:tentative="1">
      <w:start w:val="1"/>
      <w:numFmt w:val="bullet"/>
      <w:lvlText w:val=""/>
      <w:lvlJc w:val="left"/>
      <w:pPr>
        <w:tabs>
          <w:tab w:val="num" w:pos="6480"/>
        </w:tabs>
        <w:ind w:left="6480" w:hanging="360"/>
      </w:pPr>
      <w:rPr>
        <w:rFonts w:ascii="Wingdings" w:hAnsi="Wingdings" w:hint="default"/>
      </w:rPr>
    </w:lvl>
  </w:abstractNum>
  <w:abstractNum w:abstractNumId="4">
    <w:nsid w:val="11A63CB4"/>
    <w:multiLevelType w:val="hybridMultilevel"/>
    <w:tmpl w:val="E7B80350"/>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nsid w:val="17420296"/>
    <w:multiLevelType w:val="hybridMultilevel"/>
    <w:tmpl w:val="B7D4E330"/>
    <w:lvl w:ilvl="0" w:tplc="4C665398">
      <w:start w:val="1"/>
      <w:numFmt w:val="bullet"/>
      <w:lvlText w:val=""/>
      <w:lvlJc w:val="left"/>
      <w:pPr>
        <w:tabs>
          <w:tab w:val="num" w:pos="720"/>
        </w:tabs>
        <w:ind w:left="720" w:hanging="360"/>
      </w:pPr>
      <w:rPr>
        <w:rFonts w:ascii="Wingdings" w:hAnsi="Wingdings" w:hint="default"/>
      </w:rPr>
    </w:lvl>
    <w:lvl w:ilvl="1" w:tplc="85E88ADA" w:tentative="1">
      <w:start w:val="1"/>
      <w:numFmt w:val="bullet"/>
      <w:lvlText w:val=""/>
      <w:lvlJc w:val="left"/>
      <w:pPr>
        <w:tabs>
          <w:tab w:val="num" w:pos="1440"/>
        </w:tabs>
        <w:ind w:left="1440" w:hanging="360"/>
      </w:pPr>
      <w:rPr>
        <w:rFonts w:ascii="Wingdings" w:hAnsi="Wingdings" w:hint="default"/>
      </w:rPr>
    </w:lvl>
    <w:lvl w:ilvl="2" w:tplc="6EE4A04E" w:tentative="1">
      <w:start w:val="1"/>
      <w:numFmt w:val="bullet"/>
      <w:lvlText w:val=""/>
      <w:lvlJc w:val="left"/>
      <w:pPr>
        <w:tabs>
          <w:tab w:val="num" w:pos="2160"/>
        </w:tabs>
        <w:ind w:left="2160" w:hanging="360"/>
      </w:pPr>
      <w:rPr>
        <w:rFonts w:ascii="Wingdings" w:hAnsi="Wingdings" w:hint="default"/>
      </w:rPr>
    </w:lvl>
    <w:lvl w:ilvl="3" w:tplc="4DC28B40" w:tentative="1">
      <w:start w:val="1"/>
      <w:numFmt w:val="bullet"/>
      <w:lvlText w:val=""/>
      <w:lvlJc w:val="left"/>
      <w:pPr>
        <w:tabs>
          <w:tab w:val="num" w:pos="2880"/>
        </w:tabs>
        <w:ind w:left="2880" w:hanging="360"/>
      </w:pPr>
      <w:rPr>
        <w:rFonts w:ascii="Wingdings" w:hAnsi="Wingdings" w:hint="default"/>
      </w:rPr>
    </w:lvl>
    <w:lvl w:ilvl="4" w:tplc="BD10A050" w:tentative="1">
      <w:start w:val="1"/>
      <w:numFmt w:val="bullet"/>
      <w:lvlText w:val=""/>
      <w:lvlJc w:val="left"/>
      <w:pPr>
        <w:tabs>
          <w:tab w:val="num" w:pos="3600"/>
        </w:tabs>
        <w:ind w:left="3600" w:hanging="360"/>
      </w:pPr>
      <w:rPr>
        <w:rFonts w:ascii="Wingdings" w:hAnsi="Wingdings" w:hint="default"/>
      </w:rPr>
    </w:lvl>
    <w:lvl w:ilvl="5" w:tplc="C60685C6" w:tentative="1">
      <w:start w:val="1"/>
      <w:numFmt w:val="bullet"/>
      <w:lvlText w:val=""/>
      <w:lvlJc w:val="left"/>
      <w:pPr>
        <w:tabs>
          <w:tab w:val="num" w:pos="4320"/>
        </w:tabs>
        <w:ind w:left="4320" w:hanging="360"/>
      </w:pPr>
      <w:rPr>
        <w:rFonts w:ascii="Wingdings" w:hAnsi="Wingdings" w:hint="default"/>
      </w:rPr>
    </w:lvl>
    <w:lvl w:ilvl="6" w:tplc="76482E32" w:tentative="1">
      <w:start w:val="1"/>
      <w:numFmt w:val="bullet"/>
      <w:lvlText w:val=""/>
      <w:lvlJc w:val="left"/>
      <w:pPr>
        <w:tabs>
          <w:tab w:val="num" w:pos="5040"/>
        </w:tabs>
        <w:ind w:left="5040" w:hanging="360"/>
      </w:pPr>
      <w:rPr>
        <w:rFonts w:ascii="Wingdings" w:hAnsi="Wingdings" w:hint="default"/>
      </w:rPr>
    </w:lvl>
    <w:lvl w:ilvl="7" w:tplc="A950FCB0" w:tentative="1">
      <w:start w:val="1"/>
      <w:numFmt w:val="bullet"/>
      <w:lvlText w:val=""/>
      <w:lvlJc w:val="left"/>
      <w:pPr>
        <w:tabs>
          <w:tab w:val="num" w:pos="5760"/>
        </w:tabs>
        <w:ind w:left="5760" w:hanging="360"/>
      </w:pPr>
      <w:rPr>
        <w:rFonts w:ascii="Wingdings" w:hAnsi="Wingdings" w:hint="default"/>
      </w:rPr>
    </w:lvl>
    <w:lvl w:ilvl="8" w:tplc="A4028E4C" w:tentative="1">
      <w:start w:val="1"/>
      <w:numFmt w:val="bullet"/>
      <w:lvlText w:val=""/>
      <w:lvlJc w:val="left"/>
      <w:pPr>
        <w:tabs>
          <w:tab w:val="num" w:pos="6480"/>
        </w:tabs>
        <w:ind w:left="6480" w:hanging="360"/>
      </w:pPr>
      <w:rPr>
        <w:rFonts w:ascii="Wingdings" w:hAnsi="Wingdings" w:hint="default"/>
      </w:rPr>
    </w:lvl>
  </w:abstractNum>
  <w:abstractNum w:abstractNumId="6">
    <w:nsid w:val="18B80320"/>
    <w:multiLevelType w:val="hybridMultilevel"/>
    <w:tmpl w:val="BB92583E"/>
    <w:lvl w:ilvl="0" w:tplc="04090019">
      <w:start w:val="1"/>
      <w:numFmt w:val="irohaFullWidth"/>
      <w:lvlText w:val="%1)"/>
      <w:lvlJc w:val="left"/>
      <w:pPr>
        <w:ind w:left="840" w:hanging="420"/>
      </w:p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7">
    <w:nsid w:val="1DE506E6"/>
    <w:multiLevelType w:val="hybridMultilevel"/>
    <w:tmpl w:val="9B7A276A"/>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nsid w:val="20A33ACE"/>
    <w:multiLevelType w:val="hybridMultilevel"/>
    <w:tmpl w:val="A88C7CC8"/>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nsid w:val="21283118"/>
    <w:multiLevelType w:val="multilevel"/>
    <w:tmpl w:val="A9E4013C"/>
    <w:lvl w:ilvl="0">
      <w:start w:val="1"/>
      <w:numFmt w:val="decimalFullWidth"/>
      <w:suff w:val="nothing"/>
      <w:lvlText w:val="%1"/>
      <w:lvlJc w:val="left"/>
      <w:pPr>
        <w:ind w:left="0" w:firstLine="0"/>
      </w:pPr>
      <w:rPr>
        <w:rFonts w:hint="eastAsia"/>
        <w:lang w:val="en-US"/>
      </w:rPr>
    </w:lvl>
    <w:lvl w:ilvl="1">
      <w:start w:val="1"/>
      <w:numFmt w:val="decimalFullWidth"/>
      <w:suff w:val="nothing"/>
      <w:lvlText w:val="%1-%2"/>
      <w:lvlJc w:val="left"/>
      <w:pPr>
        <w:ind w:left="0" w:firstLine="0"/>
      </w:pPr>
    </w:lvl>
    <w:lvl w:ilvl="2">
      <w:start w:val="1"/>
      <w:numFmt w:val="decimalFullWidth"/>
      <w:suff w:val="nothing"/>
      <w:lvlText w:val="%1-%2-%3"/>
      <w:lvlJc w:val="left"/>
      <w:pPr>
        <w:ind w:left="0" w:firstLine="0"/>
      </w:pPr>
    </w:lvl>
    <w:lvl w:ilvl="3">
      <w:start w:val="1"/>
      <w:numFmt w:val="decimalFullWidth"/>
      <w:suff w:val="nothing"/>
      <w:lvlText w:val="%1-%2-%3-%4"/>
      <w:lvlJc w:val="left"/>
      <w:pPr>
        <w:ind w:left="0" w:firstLine="0"/>
      </w:pPr>
    </w:lvl>
    <w:lvl w:ilvl="4">
      <w:start w:val="1"/>
      <w:numFmt w:val="decimalFullWidth"/>
      <w:suff w:val="nothing"/>
      <w:lvlText w:val="%1-%2-%3-%4-%5"/>
      <w:lvlJc w:val="left"/>
      <w:pPr>
        <w:ind w:left="0" w:firstLine="0"/>
      </w:pPr>
    </w:lvl>
    <w:lvl w:ilvl="5">
      <w:start w:val="1"/>
      <w:numFmt w:val="decimalFullWidth"/>
      <w:suff w:val="nothing"/>
      <w:lvlText w:val="%1-%2-%3-%4-%5-%6"/>
      <w:lvlJc w:val="left"/>
      <w:pPr>
        <w:ind w:left="0" w:firstLine="0"/>
      </w:pPr>
    </w:lvl>
    <w:lvl w:ilvl="6">
      <w:start w:val="1"/>
      <w:numFmt w:val="decimalFullWidth"/>
      <w:suff w:val="nothing"/>
      <w:lvlText w:val="%1-%2-%3-%4-%5-%6-%7"/>
      <w:lvlJc w:val="left"/>
      <w:pPr>
        <w:ind w:left="0" w:firstLine="0"/>
      </w:pPr>
    </w:lvl>
    <w:lvl w:ilvl="7">
      <w:start w:val="1"/>
      <w:numFmt w:val="decimalFullWidth"/>
      <w:suff w:val="nothing"/>
      <w:lvlText w:val="%1-%2-%3-%4-%5-%6-%7-%8"/>
      <w:lvlJc w:val="left"/>
      <w:pPr>
        <w:ind w:left="0" w:firstLine="0"/>
      </w:pPr>
    </w:lvl>
    <w:lvl w:ilvl="8">
      <w:start w:val="1"/>
      <w:numFmt w:val="decimalFullWidth"/>
      <w:suff w:val="nothing"/>
      <w:lvlText w:val="%1-%2-%3-%4-%5-%6-%7-%8-%9"/>
      <w:lvlJc w:val="left"/>
      <w:pPr>
        <w:ind w:left="0" w:firstLine="0"/>
      </w:pPr>
    </w:lvl>
  </w:abstractNum>
  <w:abstractNum w:abstractNumId="10">
    <w:nsid w:val="25851081"/>
    <w:multiLevelType w:val="hybridMultilevel"/>
    <w:tmpl w:val="ACFE0F94"/>
    <w:lvl w:ilvl="0" w:tplc="088412F4">
      <w:start w:val="1"/>
      <w:numFmt w:val="bullet"/>
      <w:lvlText w:val=""/>
      <w:lvlJc w:val="left"/>
      <w:pPr>
        <w:tabs>
          <w:tab w:val="num" w:pos="720"/>
        </w:tabs>
        <w:ind w:left="720" w:hanging="360"/>
      </w:pPr>
      <w:rPr>
        <w:rFonts w:ascii="Wingdings" w:hAnsi="Wingdings" w:hint="default"/>
      </w:rPr>
    </w:lvl>
    <w:lvl w:ilvl="1" w:tplc="6FA0BC9A" w:tentative="1">
      <w:start w:val="1"/>
      <w:numFmt w:val="bullet"/>
      <w:lvlText w:val=""/>
      <w:lvlJc w:val="left"/>
      <w:pPr>
        <w:tabs>
          <w:tab w:val="num" w:pos="1440"/>
        </w:tabs>
        <w:ind w:left="1440" w:hanging="360"/>
      </w:pPr>
      <w:rPr>
        <w:rFonts w:ascii="Wingdings" w:hAnsi="Wingdings" w:hint="default"/>
      </w:rPr>
    </w:lvl>
    <w:lvl w:ilvl="2" w:tplc="196E062E" w:tentative="1">
      <w:start w:val="1"/>
      <w:numFmt w:val="bullet"/>
      <w:lvlText w:val=""/>
      <w:lvlJc w:val="left"/>
      <w:pPr>
        <w:tabs>
          <w:tab w:val="num" w:pos="2160"/>
        </w:tabs>
        <w:ind w:left="2160" w:hanging="360"/>
      </w:pPr>
      <w:rPr>
        <w:rFonts w:ascii="Wingdings" w:hAnsi="Wingdings" w:hint="default"/>
      </w:rPr>
    </w:lvl>
    <w:lvl w:ilvl="3" w:tplc="52C494D4" w:tentative="1">
      <w:start w:val="1"/>
      <w:numFmt w:val="bullet"/>
      <w:lvlText w:val=""/>
      <w:lvlJc w:val="left"/>
      <w:pPr>
        <w:tabs>
          <w:tab w:val="num" w:pos="2880"/>
        </w:tabs>
        <w:ind w:left="2880" w:hanging="360"/>
      </w:pPr>
      <w:rPr>
        <w:rFonts w:ascii="Wingdings" w:hAnsi="Wingdings" w:hint="default"/>
      </w:rPr>
    </w:lvl>
    <w:lvl w:ilvl="4" w:tplc="1E4ED75E" w:tentative="1">
      <w:start w:val="1"/>
      <w:numFmt w:val="bullet"/>
      <w:lvlText w:val=""/>
      <w:lvlJc w:val="left"/>
      <w:pPr>
        <w:tabs>
          <w:tab w:val="num" w:pos="3600"/>
        </w:tabs>
        <w:ind w:left="3600" w:hanging="360"/>
      </w:pPr>
      <w:rPr>
        <w:rFonts w:ascii="Wingdings" w:hAnsi="Wingdings" w:hint="default"/>
      </w:rPr>
    </w:lvl>
    <w:lvl w:ilvl="5" w:tplc="B14675EA" w:tentative="1">
      <w:start w:val="1"/>
      <w:numFmt w:val="bullet"/>
      <w:lvlText w:val=""/>
      <w:lvlJc w:val="left"/>
      <w:pPr>
        <w:tabs>
          <w:tab w:val="num" w:pos="4320"/>
        </w:tabs>
        <w:ind w:left="4320" w:hanging="360"/>
      </w:pPr>
      <w:rPr>
        <w:rFonts w:ascii="Wingdings" w:hAnsi="Wingdings" w:hint="default"/>
      </w:rPr>
    </w:lvl>
    <w:lvl w:ilvl="6" w:tplc="1804BFFC" w:tentative="1">
      <w:start w:val="1"/>
      <w:numFmt w:val="bullet"/>
      <w:lvlText w:val=""/>
      <w:lvlJc w:val="left"/>
      <w:pPr>
        <w:tabs>
          <w:tab w:val="num" w:pos="5040"/>
        </w:tabs>
        <w:ind w:left="5040" w:hanging="360"/>
      </w:pPr>
      <w:rPr>
        <w:rFonts w:ascii="Wingdings" w:hAnsi="Wingdings" w:hint="default"/>
      </w:rPr>
    </w:lvl>
    <w:lvl w:ilvl="7" w:tplc="CED2CBC0" w:tentative="1">
      <w:start w:val="1"/>
      <w:numFmt w:val="bullet"/>
      <w:lvlText w:val=""/>
      <w:lvlJc w:val="left"/>
      <w:pPr>
        <w:tabs>
          <w:tab w:val="num" w:pos="5760"/>
        </w:tabs>
        <w:ind w:left="5760" w:hanging="360"/>
      </w:pPr>
      <w:rPr>
        <w:rFonts w:ascii="Wingdings" w:hAnsi="Wingdings" w:hint="default"/>
      </w:rPr>
    </w:lvl>
    <w:lvl w:ilvl="8" w:tplc="3C447C7A" w:tentative="1">
      <w:start w:val="1"/>
      <w:numFmt w:val="bullet"/>
      <w:lvlText w:val=""/>
      <w:lvlJc w:val="left"/>
      <w:pPr>
        <w:tabs>
          <w:tab w:val="num" w:pos="6480"/>
        </w:tabs>
        <w:ind w:left="6480" w:hanging="360"/>
      </w:pPr>
      <w:rPr>
        <w:rFonts w:ascii="Wingdings" w:hAnsi="Wingdings" w:hint="default"/>
      </w:rPr>
    </w:lvl>
  </w:abstractNum>
  <w:abstractNum w:abstractNumId="11">
    <w:nsid w:val="27180DD5"/>
    <w:multiLevelType w:val="hybridMultilevel"/>
    <w:tmpl w:val="BF9AF598"/>
    <w:lvl w:ilvl="0" w:tplc="9EBE6064">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nsid w:val="2B89675B"/>
    <w:multiLevelType w:val="hybridMultilevel"/>
    <w:tmpl w:val="D716F612"/>
    <w:lvl w:ilvl="0" w:tplc="04090011">
      <w:start w:val="1"/>
      <w:numFmt w:val="decimalEnclosedCircle"/>
      <w:lvlText w:val="%1"/>
      <w:lvlJc w:val="left"/>
      <w:pPr>
        <w:tabs>
          <w:tab w:val="num" w:pos="360"/>
        </w:tabs>
        <w:ind w:left="360" w:hanging="360"/>
      </w:pPr>
      <w:rPr>
        <w:rFonts w:hint="default"/>
      </w:rPr>
    </w:lvl>
    <w:lvl w:ilvl="1" w:tplc="23805586" w:tentative="1">
      <w:start w:val="1"/>
      <w:numFmt w:val="bullet"/>
      <w:lvlText w:val=""/>
      <w:lvlJc w:val="left"/>
      <w:pPr>
        <w:tabs>
          <w:tab w:val="num" w:pos="1080"/>
        </w:tabs>
        <w:ind w:left="1080" w:hanging="360"/>
      </w:pPr>
      <w:rPr>
        <w:rFonts w:ascii="Wingdings" w:hAnsi="Wingdings" w:hint="default"/>
      </w:rPr>
    </w:lvl>
    <w:lvl w:ilvl="2" w:tplc="47142462" w:tentative="1">
      <w:start w:val="1"/>
      <w:numFmt w:val="bullet"/>
      <w:lvlText w:val=""/>
      <w:lvlJc w:val="left"/>
      <w:pPr>
        <w:tabs>
          <w:tab w:val="num" w:pos="1800"/>
        </w:tabs>
        <w:ind w:left="1800" w:hanging="360"/>
      </w:pPr>
      <w:rPr>
        <w:rFonts w:ascii="Wingdings" w:hAnsi="Wingdings" w:hint="default"/>
      </w:rPr>
    </w:lvl>
    <w:lvl w:ilvl="3" w:tplc="37123B66" w:tentative="1">
      <w:start w:val="1"/>
      <w:numFmt w:val="bullet"/>
      <w:lvlText w:val=""/>
      <w:lvlJc w:val="left"/>
      <w:pPr>
        <w:tabs>
          <w:tab w:val="num" w:pos="2520"/>
        </w:tabs>
        <w:ind w:left="2520" w:hanging="360"/>
      </w:pPr>
      <w:rPr>
        <w:rFonts w:ascii="Wingdings" w:hAnsi="Wingdings" w:hint="default"/>
      </w:rPr>
    </w:lvl>
    <w:lvl w:ilvl="4" w:tplc="06BEFFFA" w:tentative="1">
      <w:start w:val="1"/>
      <w:numFmt w:val="bullet"/>
      <w:lvlText w:val=""/>
      <w:lvlJc w:val="left"/>
      <w:pPr>
        <w:tabs>
          <w:tab w:val="num" w:pos="3240"/>
        </w:tabs>
        <w:ind w:left="3240" w:hanging="360"/>
      </w:pPr>
      <w:rPr>
        <w:rFonts w:ascii="Wingdings" w:hAnsi="Wingdings" w:hint="default"/>
      </w:rPr>
    </w:lvl>
    <w:lvl w:ilvl="5" w:tplc="AF8C1440" w:tentative="1">
      <w:start w:val="1"/>
      <w:numFmt w:val="bullet"/>
      <w:lvlText w:val=""/>
      <w:lvlJc w:val="left"/>
      <w:pPr>
        <w:tabs>
          <w:tab w:val="num" w:pos="3960"/>
        </w:tabs>
        <w:ind w:left="3960" w:hanging="360"/>
      </w:pPr>
      <w:rPr>
        <w:rFonts w:ascii="Wingdings" w:hAnsi="Wingdings" w:hint="default"/>
      </w:rPr>
    </w:lvl>
    <w:lvl w:ilvl="6" w:tplc="37A2AD7A" w:tentative="1">
      <w:start w:val="1"/>
      <w:numFmt w:val="bullet"/>
      <w:lvlText w:val=""/>
      <w:lvlJc w:val="left"/>
      <w:pPr>
        <w:tabs>
          <w:tab w:val="num" w:pos="4680"/>
        </w:tabs>
        <w:ind w:left="4680" w:hanging="360"/>
      </w:pPr>
      <w:rPr>
        <w:rFonts w:ascii="Wingdings" w:hAnsi="Wingdings" w:hint="default"/>
      </w:rPr>
    </w:lvl>
    <w:lvl w:ilvl="7" w:tplc="D682F282" w:tentative="1">
      <w:start w:val="1"/>
      <w:numFmt w:val="bullet"/>
      <w:lvlText w:val=""/>
      <w:lvlJc w:val="left"/>
      <w:pPr>
        <w:tabs>
          <w:tab w:val="num" w:pos="5400"/>
        </w:tabs>
        <w:ind w:left="5400" w:hanging="360"/>
      </w:pPr>
      <w:rPr>
        <w:rFonts w:ascii="Wingdings" w:hAnsi="Wingdings" w:hint="default"/>
      </w:rPr>
    </w:lvl>
    <w:lvl w:ilvl="8" w:tplc="FCD40C06" w:tentative="1">
      <w:start w:val="1"/>
      <w:numFmt w:val="bullet"/>
      <w:lvlText w:val=""/>
      <w:lvlJc w:val="left"/>
      <w:pPr>
        <w:tabs>
          <w:tab w:val="num" w:pos="6120"/>
        </w:tabs>
        <w:ind w:left="6120" w:hanging="360"/>
      </w:pPr>
      <w:rPr>
        <w:rFonts w:ascii="Wingdings" w:hAnsi="Wingdings" w:hint="default"/>
      </w:rPr>
    </w:lvl>
  </w:abstractNum>
  <w:abstractNum w:abstractNumId="13">
    <w:nsid w:val="3631381E"/>
    <w:multiLevelType w:val="hybridMultilevel"/>
    <w:tmpl w:val="23FCE798"/>
    <w:lvl w:ilvl="0" w:tplc="232A8438">
      <w:start w:val="1"/>
      <w:numFmt w:val="bullet"/>
      <w:lvlText w:val="○"/>
      <w:lvlJc w:val="left"/>
      <w:pPr>
        <w:tabs>
          <w:tab w:val="num" w:pos="360"/>
        </w:tabs>
        <w:ind w:left="360" w:hanging="360"/>
      </w:pPr>
      <w:rPr>
        <w:rFonts w:ascii="ＭＳ 明朝" w:eastAsia="ＭＳ 明朝" w:hAnsi="ＭＳ 明朝" w:hint="eastAsia"/>
      </w:rPr>
    </w:lvl>
    <w:lvl w:ilvl="1" w:tplc="80441FB8" w:tentative="1">
      <w:start w:val="1"/>
      <w:numFmt w:val="bullet"/>
      <w:lvlText w:val=""/>
      <w:lvlJc w:val="left"/>
      <w:pPr>
        <w:tabs>
          <w:tab w:val="num" w:pos="1080"/>
        </w:tabs>
        <w:ind w:left="1080" w:hanging="360"/>
      </w:pPr>
      <w:rPr>
        <w:rFonts w:ascii="Wingdings" w:hAnsi="Wingdings" w:hint="default"/>
      </w:rPr>
    </w:lvl>
    <w:lvl w:ilvl="2" w:tplc="5CE08A42" w:tentative="1">
      <w:start w:val="1"/>
      <w:numFmt w:val="bullet"/>
      <w:lvlText w:val=""/>
      <w:lvlJc w:val="left"/>
      <w:pPr>
        <w:tabs>
          <w:tab w:val="num" w:pos="1800"/>
        </w:tabs>
        <w:ind w:left="1800" w:hanging="360"/>
      </w:pPr>
      <w:rPr>
        <w:rFonts w:ascii="Wingdings" w:hAnsi="Wingdings" w:hint="default"/>
      </w:rPr>
    </w:lvl>
    <w:lvl w:ilvl="3" w:tplc="84F8838A" w:tentative="1">
      <w:start w:val="1"/>
      <w:numFmt w:val="bullet"/>
      <w:lvlText w:val=""/>
      <w:lvlJc w:val="left"/>
      <w:pPr>
        <w:tabs>
          <w:tab w:val="num" w:pos="2520"/>
        </w:tabs>
        <w:ind w:left="2520" w:hanging="360"/>
      </w:pPr>
      <w:rPr>
        <w:rFonts w:ascii="Wingdings" w:hAnsi="Wingdings" w:hint="default"/>
      </w:rPr>
    </w:lvl>
    <w:lvl w:ilvl="4" w:tplc="AC105020" w:tentative="1">
      <w:start w:val="1"/>
      <w:numFmt w:val="bullet"/>
      <w:lvlText w:val=""/>
      <w:lvlJc w:val="left"/>
      <w:pPr>
        <w:tabs>
          <w:tab w:val="num" w:pos="3240"/>
        </w:tabs>
        <w:ind w:left="3240" w:hanging="360"/>
      </w:pPr>
      <w:rPr>
        <w:rFonts w:ascii="Wingdings" w:hAnsi="Wingdings" w:hint="default"/>
      </w:rPr>
    </w:lvl>
    <w:lvl w:ilvl="5" w:tplc="71D0DB36" w:tentative="1">
      <w:start w:val="1"/>
      <w:numFmt w:val="bullet"/>
      <w:lvlText w:val=""/>
      <w:lvlJc w:val="left"/>
      <w:pPr>
        <w:tabs>
          <w:tab w:val="num" w:pos="3960"/>
        </w:tabs>
        <w:ind w:left="3960" w:hanging="360"/>
      </w:pPr>
      <w:rPr>
        <w:rFonts w:ascii="Wingdings" w:hAnsi="Wingdings" w:hint="default"/>
      </w:rPr>
    </w:lvl>
    <w:lvl w:ilvl="6" w:tplc="3EE2CE08" w:tentative="1">
      <w:start w:val="1"/>
      <w:numFmt w:val="bullet"/>
      <w:lvlText w:val=""/>
      <w:lvlJc w:val="left"/>
      <w:pPr>
        <w:tabs>
          <w:tab w:val="num" w:pos="4680"/>
        </w:tabs>
        <w:ind w:left="4680" w:hanging="360"/>
      </w:pPr>
      <w:rPr>
        <w:rFonts w:ascii="Wingdings" w:hAnsi="Wingdings" w:hint="default"/>
      </w:rPr>
    </w:lvl>
    <w:lvl w:ilvl="7" w:tplc="9A5A08EA" w:tentative="1">
      <w:start w:val="1"/>
      <w:numFmt w:val="bullet"/>
      <w:lvlText w:val=""/>
      <w:lvlJc w:val="left"/>
      <w:pPr>
        <w:tabs>
          <w:tab w:val="num" w:pos="5400"/>
        </w:tabs>
        <w:ind w:left="5400" w:hanging="360"/>
      </w:pPr>
      <w:rPr>
        <w:rFonts w:ascii="Wingdings" w:hAnsi="Wingdings" w:hint="default"/>
      </w:rPr>
    </w:lvl>
    <w:lvl w:ilvl="8" w:tplc="60DAF062" w:tentative="1">
      <w:start w:val="1"/>
      <w:numFmt w:val="bullet"/>
      <w:lvlText w:val=""/>
      <w:lvlJc w:val="left"/>
      <w:pPr>
        <w:tabs>
          <w:tab w:val="num" w:pos="6120"/>
        </w:tabs>
        <w:ind w:left="6120" w:hanging="360"/>
      </w:pPr>
      <w:rPr>
        <w:rFonts w:ascii="Wingdings" w:hAnsi="Wingdings" w:hint="default"/>
      </w:rPr>
    </w:lvl>
  </w:abstractNum>
  <w:abstractNum w:abstractNumId="14">
    <w:nsid w:val="37C36C6C"/>
    <w:multiLevelType w:val="hybridMultilevel"/>
    <w:tmpl w:val="BA6E97B8"/>
    <w:lvl w:ilvl="0" w:tplc="232A8438">
      <w:start w:val="1"/>
      <w:numFmt w:val="bullet"/>
      <w:lvlText w:val="○"/>
      <w:lvlJc w:val="left"/>
      <w:pPr>
        <w:ind w:left="420" w:hanging="420"/>
      </w:pPr>
      <w:rPr>
        <w:rFonts w:ascii="ＭＳ 明朝" w:eastAsia="ＭＳ 明朝" w:hAnsi="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nsid w:val="3E7C5734"/>
    <w:multiLevelType w:val="hybridMultilevel"/>
    <w:tmpl w:val="3FE0DCF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nsid w:val="4DDE0254"/>
    <w:multiLevelType w:val="hybridMultilevel"/>
    <w:tmpl w:val="E98E83D4"/>
    <w:lvl w:ilvl="0" w:tplc="EAC40538">
      <w:start w:val="1"/>
      <w:numFmt w:val="bullet"/>
      <w:lvlText w:val=""/>
      <w:lvlJc w:val="left"/>
      <w:pPr>
        <w:tabs>
          <w:tab w:val="num" w:pos="720"/>
        </w:tabs>
        <w:ind w:left="720" w:hanging="360"/>
      </w:pPr>
      <w:rPr>
        <w:rFonts w:ascii="Wingdings" w:hAnsi="Wingdings" w:hint="default"/>
      </w:rPr>
    </w:lvl>
    <w:lvl w:ilvl="1" w:tplc="80441FB8" w:tentative="1">
      <w:start w:val="1"/>
      <w:numFmt w:val="bullet"/>
      <w:lvlText w:val=""/>
      <w:lvlJc w:val="left"/>
      <w:pPr>
        <w:tabs>
          <w:tab w:val="num" w:pos="1440"/>
        </w:tabs>
        <w:ind w:left="1440" w:hanging="360"/>
      </w:pPr>
      <w:rPr>
        <w:rFonts w:ascii="Wingdings" w:hAnsi="Wingdings" w:hint="default"/>
      </w:rPr>
    </w:lvl>
    <w:lvl w:ilvl="2" w:tplc="5CE08A42" w:tentative="1">
      <w:start w:val="1"/>
      <w:numFmt w:val="bullet"/>
      <w:lvlText w:val=""/>
      <w:lvlJc w:val="left"/>
      <w:pPr>
        <w:tabs>
          <w:tab w:val="num" w:pos="2160"/>
        </w:tabs>
        <w:ind w:left="2160" w:hanging="360"/>
      </w:pPr>
      <w:rPr>
        <w:rFonts w:ascii="Wingdings" w:hAnsi="Wingdings" w:hint="default"/>
      </w:rPr>
    </w:lvl>
    <w:lvl w:ilvl="3" w:tplc="84F8838A" w:tentative="1">
      <w:start w:val="1"/>
      <w:numFmt w:val="bullet"/>
      <w:lvlText w:val=""/>
      <w:lvlJc w:val="left"/>
      <w:pPr>
        <w:tabs>
          <w:tab w:val="num" w:pos="2880"/>
        </w:tabs>
        <w:ind w:left="2880" w:hanging="360"/>
      </w:pPr>
      <w:rPr>
        <w:rFonts w:ascii="Wingdings" w:hAnsi="Wingdings" w:hint="default"/>
      </w:rPr>
    </w:lvl>
    <w:lvl w:ilvl="4" w:tplc="AC105020" w:tentative="1">
      <w:start w:val="1"/>
      <w:numFmt w:val="bullet"/>
      <w:lvlText w:val=""/>
      <w:lvlJc w:val="left"/>
      <w:pPr>
        <w:tabs>
          <w:tab w:val="num" w:pos="3600"/>
        </w:tabs>
        <w:ind w:left="3600" w:hanging="360"/>
      </w:pPr>
      <w:rPr>
        <w:rFonts w:ascii="Wingdings" w:hAnsi="Wingdings" w:hint="default"/>
      </w:rPr>
    </w:lvl>
    <w:lvl w:ilvl="5" w:tplc="71D0DB36" w:tentative="1">
      <w:start w:val="1"/>
      <w:numFmt w:val="bullet"/>
      <w:lvlText w:val=""/>
      <w:lvlJc w:val="left"/>
      <w:pPr>
        <w:tabs>
          <w:tab w:val="num" w:pos="4320"/>
        </w:tabs>
        <w:ind w:left="4320" w:hanging="360"/>
      </w:pPr>
      <w:rPr>
        <w:rFonts w:ascii="Wingdings" w:hAnsi="Wingdings" w:hint="default"/>
      </w:rPr>
    </w:lvl>
    <w:lvl w:ilvl="6" w:tplc="3EE2CE08" w:tentative="1">
      <w:start w:val="1"/>
      <w:numFmt w:val="bullet"/>
      <w:lvlText w:val=""/>
      <w:lvlJc w:val="left"/>
      <w:pPr>
        <w:tabs>
          <w:tab w:val="num" w:pos="5040"/>
        </w:tabs>
        <w:ind w:left="5040" w:hanging="360"/>
      </w:pPr>
      <w:rPr>
        <w:rFonts w:ascii="Wingdings" w:hAnsi="Wingdings" w:hint="default"/>
      </w:rPr>
    </w:lvl>
    <w:lvl w:ilvl="7" w:tplc="9A5A08EA" w:tentative="1">
      <w:start w:val="1"/>
      <w:numFmt w:val="bullet"/>
      <w:lvlText w:val=""/>
      <w:lvlJc w:val="left"/>
      <w:pPr>
        <w:tabs>
          <w:tab w:val="num" w:pos="5760"/>
        </w:tabs>
        <w:ind w:left="5760" w:hanging="360"/>
      </w:pPr>
      <w:rPr>
        <w:rFonts w:ascii="Wingdings" w:hAnsi="Wingdings" w:hint="default"/>
      </w:rPr>
    </w:lvl>
    <w:lvl w:ilvl="8" w:tplc="60DAF062" w:tentative="1">
      <w:start w:val="1"/>
      <w:numFmt w:val="bullet"/>
      <w:lvlText w:val=""/>
      <w:lvlJc w:val="left"/>
      <w:pPr>
        <w:tabs>
          <w:tab w:val="num" w:pos="6480"/>
        </w:tabs>
        <w:ind w:left="6480" w:hanging="360"/>
      </w:pPr>
      <w:rPr>
        <w:rFonts w:ascii="Wingdings" w:hAnsi="Wingdings" w:hint="default"/>
      </w:rPr>
    </w:lvl>
  </w:abstractNum>
  <w:abstractNum w:abstractNumId="17">
    <w:nsid w:val="5534060C"/>
    <w:multiLevelType w:val="hybridMultilevel"/>
    <w:tmpl w:val="78B89CDE"/>
    <w:lvl w:ilvl="0" w:tplc="04090019">
      <w:start w:val="1"/>
      <w:numFmt w:val="irohaFullWidth"/>
      <w:lvlText w:val="%1)"/>
      <w:lvlJc w:val="left"/>
      <w:pPr>
        <w:ind w:left="420" w:hanging="420"/>
      </w:pPr>
    </w:lvl>
    <w:lvl w:ilvl="1" w:tplc="04090019">
      <w:start w:val="1"/>
      <w:numFmt w:val="iroha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nsid w:val="5AB814F4"/>
    <w:multiLevelType w:val="hybridMultilevel"/>
    <w:tmpl w:val="3520551C"/>
    <w:lvl w:ilvl="0" w:tplc="04090019">
      <w:start w:val="1"/>
      <w:numFmt w:val="irohaFullWidth"/>
      <w:lvlText w:val="%1)"/>
      <w:lvlJc w:val="left"/>
      <w:pPr>
        <w:ind w:left="420" w:hanging="420"/>
      </w:p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nsid w:val="5C323B8F"/>
    <w:multiLevelType w:val="hybridMultilevel"/>
    <w:tmpl w:val="575AA2D8"/>
    <w:lvl w:ilvl="0" w:tplc="8EACE658">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20">
    <w:nsid w:val="5C8B13B1"/>
    <w:multiLevelType w:val="hybridMultilevel"/>
    <w:tmpl w:val="547A1DDE"/>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nsid w:val="61316A8B"/>
    <w:multiLevelType w:val="hybridMultilevel"/>
    <w:tmpl w:val="3DE4E1F6"/>
    <w:lvl w:ilvl="0" w:tplc="04090019">
      <w:start w:val="1"/>
      <w:numFmt w:val="irohaFullWidth"/>
      <w:lvlText w:val="%1)"/>
      <w:lvlJc w:val="left"/>
      <w:pPr>
        <w:ind w:left="630" w:hanging="420"/>
      </w:p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22">
    <w:nsid w:val="66A16924"/>
    <w:multiLevelType w:val="hybridMultilevel"/>
    <w:tmpl w:val="CF92B85C"/>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nsid w:val="66E10877"/>
    <w:multiLevelType w:val="hybridMultilevel"/>
    <w:tmpl w:val="FC0ABDEE"/>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nsid w:val="67A61C2D"/>
    <w:multiLevelType w:val="hybridMultilevel"/>
    <w:tmpl w:val="9BBC0042"/>
    <w:lvl w:ilvl="0" w:tplc="04090001">
      <w:start w:val="1"/>
      <w:numFmt w:val="bullet"/>
      <w:lvlText w:val=""/>
      <w:lvlJc w:val="left"/>
      <w:pPr>
        <w:ind w:left="420" w:hanging="420"/>
      </w:pPr>
      <w:rPr>
        <w:rFonts w:ascii="Wingdings" w:hAnsi="Wingdings" w:hint="default"/>
      </w:rPr>
    </w:lvl>
    <w:lvl w:ilvl="1" w:tplc="0409000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5">
    <w:nsid w:val="6D081F06"/>
    <w:multiLevelType w:val="hybridMultilevel"/>
    <w:tmpl w:val="CA4A2F36"/>
    <w:lvl w:ilvl="0" w:tplc="0409000F">
      <w:start w:val="1"/>
      <w:numFmt w:val="decimal"/>
      <w:lvlText w:val="%1."/>
      <w:lvlJc w:val="left"/>
      <w:pPr>
        <w:tabs>
          <w:tab w:val="num" w:pos="720"/>
        </w:tabs>
        <w:ind w:left="720" w:hanging="360"/>
      </w:pPr>
      <w:rPr>
        <w:rFonts w:hint="default"/>
      </w:rPr>
    </w:lvl>
    <w:lvl w:ilvl="1" w:tplc="85E88ADA" w:tentative="1">
      <w:start w:val="1"/>
      <w:numFmt w:val="bullet"/>
      <w:lvlText w:val=""/>
      <w:lvlJc w:val="left"/>
      <w:pPr>
        <w:tabs>
          <w:tab w:val="num" w:pos="1440"/>
        </w:tabs>
        <w:ind w:left="1440" w:hanging="360"/>
      </w:pPr>
      <w:rPr>
        <w:rFonts w:ascii="Wingdings" w:hAnsi="Wingdings" w:hint="default"/>
      </w:rPr>
    </w:lvl>
    <w:lvl w:ilvl="2" w:tplc="6EE4A04E" w:tentative="1">
      <w:start w:val="1"/>
      <w:numFmt w:val="bullet"/>
      <w:lvlText w:val=""/>
      <w:lvlJc w:val="left"/>
      <w:pPr>
        <w:tabs>
          <w:tab w:val="num" w:pos="2160"/>
        </w:tabs>
        <w:ind w:left="2160" w:hanging="360"/>
      </w:pPr>
      <w:rPr>
        <w:rFonts w:ascii="Wingdings" w:hAnsi="Wingdings" w:hint="default"/>
      </w:rPr>
    </w:lvl>
    <w:lvl w:ilvl="3" w:tplc="4DC28B40" w:tentative="1">
      <w:start w:val="1"/>
      <w:numFmt w:val="bullet"/>
      <w:lvlText w:val=""/>
      <w:lvlJc w:val="left"/>
      <w:pPr>
        <w:tabs>
          <w:tab w:val="num" w:pos="2880"/>
        </w:tabs>
        <w:ind w:left="2880" w:hanging="360"/>
      </w:pPr>
      <w:rPr>
        <w:rFonts w:ascii="Wingdings" w:hAnsi="Wingdings" w:hint="default"/>
      </w:rPr>
    </w:lvl>
    <w:lvl w:ilvl="4" w:tplc="BD10A050" w:tentative="1">
      <w:start w:val="1"/>
      <w:numFmt w:val="bullet"/>
      <w:lvlText w:val=""/>
      <w:lvlJc w:val="left"/>
      <w:pPr>
        <w:tabs>
          <w:tab w:val="num" w:pos="3600"/>
        </w:tabs>
        <w:ind w:left="3600" w:hanging="360"/>
      </w:pPr>
      <w:rPr>
        <w:rFonts w:ascii="Wingdings" w:hAnsi="Wingdings" w:hint="default"/>
      </w:rPr>
    </w:lvl>
    <w:lvl w:ilvl="5" w:tplc="C60685C6" w:tentative="1">
      <w:start w:val="1"/>
      <w:numFmt w:val="bullet"/>
      <w:lvlText w:val=""/>
      <w:lvlJc w:val="left"/>
      <w:pPr>
        <w:tabs>
          <w:tab w:val="num" w:pos="4320"/>
        </w:tabs>
        <w:ind w:left="4320" w:hanging="360"/>
      </w:pPr>
      <w:rPr>
        <w:rFonts w:ascii="Wingdings" w:hAnsi="Wingdings" w:hint="default"/>
      </w:rPr>
    </w:lvl>
    <w:lvl w:ilvl="6" w:tplc="76482E32" w:tentative="1">
      <w:start w:val="1"/>
      <w:numFmt w:val="bullet"/>
      <w:lvlText w:val=""/>
      <w:lvlJc w:val="left"/>
      <w:pPr>
        <w:tabs>
          <w:tab w:val="num" w:pos="5040"/>
        </w:tabs>
        <w:ind w:left="5040" w:hanging="360"/>
      </w:pPr>
      <w:rPr>
        <w:rFonts w:ascii="Wingdings" w:hAnsi="Wingdings" w:hint="default"/>
      </w:rPr>
    </w:lvl>
    <w:lvl w:ilvl="7" w:tplc="A950FCB0" w:tentative="1">
      <w:start w:val="1"/>
      <w:numFmt w:val="bullet"/>
      <w:lvlText w:val=""/>
      <w:lvlJc w:val="left"/>
      <w:pPr>
        <w:tabs>
          <w:tab w:val="num" w:pos="5760"/>
        </w:tabs>
        <w:ind w:left="5760" w:hanging="360"/>
      </w:pPr>
      <w:rPr>
        <w:rFonts w:ascii="Wingdings" w:hAnsi="Wingdings" w:hint="default"/>
      </w:rPr>
    </w:lvl>
    <w:lvl w:ilvl="8" w:tplc="A4028E4C" w:tentative="1">
      <w:start w:val="1"/>
      <w:numFmt w:val="bullet"/>
      <w:lvlText w:val=""/>
      <w:lvlJc w:val="left"/>
      <w:pPr>
        <w:tabs>
          <w:tab w:val="num" w:pos="6480"/>
        </w:tabs>
        <w:ind w:left="6480" w:hanging="360"/>
      </w:pPr>
      <w:rPr>
        <w:rFonts w:ascii="Wingdings" w:hAnsi="Wingdings" w:hint="default"/>
      </w:rPr>
    </w:lvl>
  </w:abstractNum>
  <w:abstractNum w:abstractNumId="26">
    <w:nsid w:val="6D786E0D"/>
    <w:multiLevelType w:val="hybridMultilevel"/>
    <w:tmpl w:val="810A0622"/>
    <w:lvl w:ilvl="0" w:tplc="04090019">
      <w:start w:val="1"/>
      <w:numFmt w:val="irohaFullWidth"/>
      <w:lvlText w:val="%1)"/>
      <w:lvlJc w:val="left"/>
      <w:pPr>
        <w:ind w:left="840" w:hanging="420"/>
      </w:p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27">
    <w:nsid w:val="7270761D"/>
    <w:multiLevelType w:val="hybridMultilevel"/>
    <w:tmpl w:val="0E4CE4AC"/>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8">
    <w:nsid w:val="72CF39E8"/>
    <w:multiLevelType w:val="hybridMultilevel"/>
    <w:tmpl w:val="74763A0E"/>
    <w:lvl w:ilvl="0" w:tplc="232A8438">
      <w:start w:val="1"/>
      <w:numFmt w:val="bullet"/>
      <w:lvlText w:val="○"/>
      <w:lvlJc w:val="left"/>
      <w:pPr>
        <w:ind w:left="420" w:hanging="420"/>
      </w:pPr>
      <w:rPr>
        <w:rFonts w:ascii="ＭＳ 明朝" w:eastAsia="ＭＳ 明朝" w:hAnsi="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9">
    <w:nsid w:val="760E4BC3"/>
    <w:multiLevelType w:val="hybridMultilevel"/>
    <w:tmpl w:val="70E6B714"/>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0">
    <w:nsid w:val="79FB640B"/>
    <w:multiLevelType w:val="hybridMultilevel"/>
    <w:tmpl w:val="711481BC"/>
    <w:lvl w:ilvl="0" w:tplc="232A8438">
      <w:start w:val="1"/>
      <w:numFmt w:val="bullet"/>
      <w:lvlText w:val="○"/>
      <w:lvlJc w:val="left"/>
      <w:pPr>
        <w:tabs>
          <w:tab w:val="num" w:pos="360"/>
        </w:tabs>
        <w:ind w:left="360" w:hanging="360"/>
      </w:pPr>
      <w:rPr>
        <w:rFonts w:ascii="ＭＳ 明朝" w:eastAsia="ＭＳ 明朝" w:hAnsi="ＭＳ 明朝" w:hint="eastAsia"/>
      </w:rPr>
    </w:lvl>
    <w:lvl w:ilvl="1" w:tplc="80441FB8" w:tentative="1">
      <w:start w:val="1"/>
      <w:numFmt w:val="bullet"/>
      <w:lvlText w:val=""/>
      <w:lvlJc w:val="left"/>
      <w:pPr>
        <w:tabs>
          <w:tab w:val="num" w:pos="1080"/>
        </w:tabs>
        <w:ind w:left="1080" w:hanging="360"/>
      </w:pPr>
      <w:rPr>
        <w:rFonts w:ascii="Wingdings" w:hAnsi="Wingdings" w:hint="default"/>
      </w:rPr>
    </w:lvl>
    <w:lvl w:ilvl="2" w:tplc="5CE08A42" w:tentative="1">
      <w:start w:val="1"/>
      <w:numFmt w:val="bullet"/>
      <w:lvlText w:val=""/>
      <w:lvlJc w:val="left"/>
      <w:pPr>
        <w:tabs>
          <w:tab w:val="num" w:pos="1800"/>
        </w:tabs>
        <w:ind w:left="1800" w:hanging="360"/>
      </w:pPr>
      <w:rPr>
        <w:rFonts w:ascii="Wingdings" w:hAnsi="Wingdings" w:hint="default"/>
      </w:rPr>
    </w:lvl>
    <w:lvl w:ilvl="3" w:tplc="84F8838A" w:tentative="1">
      <w:start w:val="1"/>
      <w:numFmt w:val="bullet"/>
      <w:lvlText w:val=""/>
      <w:lvlJc w:val="left"/>
      <w:pPr>
        <w:tabs>
          <w:tab w:val="num" w:pos="2520"/>
        </w:tabs>
        <w:ind w:left="2520" w:hanging="360"/>
      </w:pPr>
      <w:rPr>
        <w:rFonts w:ascii="Wingdings" w:hAnsi="Wingdings" w:hint="default"/>
      </w:rPr>
    </w:lvl>
    <w:lvl w:ilvl="4" w:tplc="AC105020" w:tentative="1">
      <w:start w:val="1"/>
      <w:numFmt w:val="bullet"/>
      <w:lvlText w:val=""/>
      <w:lvlJc w:val="left"/>
      <w:pPr>
        <w:tabs>
          <w:tab w:val="num" w:pos="3240"/>
        </w:tabs>
        <w:ind w:left="3240" w:hanging="360"/>
      </w:pPr>
      <w:rPr>
        <w:rFonts w:ascii="Wingdings" w:hAnsi="Wingdings" w:hint="default"/>
      </w:rPr>
    </w:lvl>
    <w:lvl w:ilvl="5" w:tplc="71D0DB36" w:tentative="1">
      <w:start w:val="1"/>
      <w:numFmt w:val="bullet"/>
      <w:lvlText w:val=""/>
      <w:lvlJc w:val="left"/>
      <w:pPr>
        <w:tabs>
          <w:tab w:val="num" w:pos="3960"/>
        </w:tabs>
        <w:ind w:left="3960" w:hanging="360"/>
      </w:pPr>
      <w:rPr>
        <w:rFonts w:ascii="Wingdings" w:hAnsi="Wingdings" w:hint="default"/>
      </w:rPr>
    </w:lvl>
    <w:lvl w:ilvl="6" w:tplc="3EE2CE08" w:tentative="1">
      <w:start w:val="1"/>
      <w:numFmt w:val="bullet"/>
      <w:lvlText w:val=""/>
      <w:lvlJc w:val="left"/>
      <w:pPr>
        <w:tabs>
          <w:tab w:val="num" w:pos="4680"/>
        </w:tabs>
        <w:ind w:left="4680" w:hanging="360"/>
      </w:pPr>
      <w:rPr>
        <w:rFonts w:ascii="Wingdings" w:hAnsi="Wingdings" w:hint="default"/>
      </w:rPr>
    </w:lvl>
    <w:lvl w:ilvl="7" w:tplc="9A5A08EA" w:tentative="1">
      <w:start w:val="1"/>
      <w:numFmt w:val="bullet"/>
      <w:lvlText w:val=""/>
      <w:lvlJc w:val="left"/>
      <w:pPr>
        <w:tabs>
          <w:tab w:val="num" w:pos="5400"/>
        </w:tabs>
        <w:ind w:left="5400" w:hanging="360"/>
      </w:pPr>
      <w:rPr>
        <w:rFonts w:ascii="Wingdings" w:hAnsi="Wingdings" w:hint="default"/>
      </w:rPr>
    </w:lvl>
    <w:lvl w:ilvl="8" w:tplc="60DAF062" w:tentative="1">
      <w:start w:val="1"/>
      <w:numFmt w:val="bullet"/>
      <w:lvlText w:val=""/>
      <w:lvlJc w:val="left"/>
      <w:pPr>
        <w:tabs>
          <w:tab w:val="num" w:pos="6120"/>
        </w:tabs>
        <w:ind w:left="6120" w:hanging="360"/>
      </w:pPr>
      <w:rPr>
        <w:rFonts w:ascii="Wingdings" w:hAnsi="Wingdings" w:hint="default"/>
      </w:rPr>
    </w:lvl>
  </w:abstractNum>
  <w:abstractNum w:abstractNumId="31">
    <w:nsid w:val="7E2E750F"/>
    <w:multiLevelType w:val="hybridMultilevel"/>
    <w:tmpl w:val="18283596"/>
    <w:lvl w:ilvl="0" w:tplc="04090019">
      <w:start w:val="1"/>
      <w:numFmt w:val="irohaFullWidth"/>
      <w:lvlText w:val="%1)"/>
      <w:lvlJc w:val="left"/>
      <w:pPr>
        <w:ind w:left="628" w:hanging="420"/>
      </w:pPr>
    </w:lvl>
    <w:lvl w:ilvl="1" w:tplc="04090017" w:tentative="1">
      <w:start w:val="1"/>
      <w:numFmt w:val="aiueoFullWidth"/>
      <w:lvlText w:val="(%2)"/>
      <w:lvlJc w:val="left"/>
      <w:pPr>
        <w:ind w:left="1048" w:hanging="420"/>
      </w:pPr>
    </w:lvl>
    <w:lvl w:ilvl="2" w:tplc="04090011" w:tentative="1">
      <w:start w:val="1"/>
      <w:numFmt w:val="decimalEnclosedCircle"/>
      <w:lvlText w:val="%3"/>
      <w:lvlJc w:val="left"/>
      <w:pPr>
        <w:ind w:left="1468" w:hanging="420"/>
      </w:pPr>
    </w:lvl>
    <w:lvl w:ilvl="3" w:tplc="0409000F" w:tentative="1">
      <w:start w:val="1"/>
      <w:numFmt w:val="decimal"/>
      <w:lvlText w:val="%4."/>
      <w:lvlJc w:val="left"/>
      <w:pPr>
        <w:ind w:left="1888" w:hanging="420"/>
      </w:pPr>
    </w:lvl>
    <w:lvl w:ilvl="4" w:tplc="04090017" w:tentative="1">
      <w:start w:val="1"/>
      <w:numFmt w:val="aiueoFullWidth"/>
      <w:lvlText w:val="(%5)"/>
      <w:lvlJc w:val="left"/>
      <w:pPr>
        <w:ind w:left="2308" w:hanging="420"/>
      </w:pPr>
    </w:lvl>
    <w:lvl w:ilvl="5" w:tplc="04090011" w:tentative="1">
      <w:start w:val="1"/>
      <w:numFmt w:val="decimalEnclosedCircle"/>
      <w:lvlText w:val="%6"/>
      <w:lvlJc w:val="left"/>
      <w:pPr>
        <w:ind w:left="2728" w:hanging="420"/>
      </w:pPr>
    </w:lvl>
    <w:lvl w:ilvl="6" w:tplc="0409000F" w:tentative="1">
      <w:start w:val="1"/>
      <w:numFmt w:val="decimal"/>
      <w:lvlText w:val="%7."/>
      <w:lvlJc w:val="left"/>
      <w:pPr>
        <w:ind w:left="3148" w:hanging="420"/>
      </w:pPr>
    </w:lvl>
    <w:lvl w:ilvl="7" w:tplc="04090017" w:tentative="1">
      <w:start w:val="1"/>
      <w:numFmt w:val="aiueoFullWidth"/>
      <w:lvlText w:val="(%8)"/>
      <w:lvlJc w:val="left"/>
      <w:pPr>
        <w:ind w:left="3568" w:hanging="420"/>
      </w:pPr>
    </w:lvl>
    <w:lvl w:ilvl="8" w:tplc="04090011" w:tentative="1">
      <w:start w:val="1"/>
      <w:numFmt w:val="decimalEnclosedCircle"/>
      <w:lvlText w:val="%9"/>
      <w:lvlJc w:val="left"/>
      <w:pPr>
        <w:ind w:left="3988" w:hanging="420"/>
      </w:pPr>
    </w:lvl>
  </w:abstractNum>
  <w:num w:numId="1">
    <w:abstractNumId w:val="9"/>
  </w:num>
  <w:num w:numId="2">
    <w:abstractNumId w:val="16"/>
  </w:num>
  <w:num w:numId="3">
    <w:abstractNumId w:val="13"/>
  </w:num>
  <w:num w:numId="4">
    <w:abstractNumId w:val="30"/>
  </w:num>
  <w:num w:numId="5">
    <w:abstractNumId w:val="4"/>
  </w:num>
  <w:num w:numId="6">
    <w:abstractNumId w:val="7"/>
  </w:num>
  <w:num w:numId="7">
    <w:abstractNumId w:val="10"/>
  </w:num>
  <w:num w:numId="8">
    <w:abstractNumId w:val="5"/>
  </w:num>
  <w:num w:numId="9">
    <w:abstractNumId w:val="25"/>
  </w:num>
  <w:num w:numId="10">
    <w:abstractNumId w:val="23"/>
  </w:num>
  <w:num w:numId="11">
    <w:abstractNumId w:val="27"/>
  </w:num>
  <w:num w:numId="12">
    <w:abstractNumId w:val="8"/>
  </w:num>
  <w:num w:numId="13">
    <w:abstractNumId w:val="3"/>
  </w:num>
  <w:num w:numId="14">
    <w:abstractNumId w:val="12"/>
  </w:num>
  <w:num w:numId="15">
    <w:abstractNumId w:val="29"/>
  </w:num>
  <w:num w:numId="16">
    <w:abstractNumId w:val="28"/>
  </w:num>
  <w:num w:numId="17">
    <w:abstractNumId w:val="11"/>
  </w:num>
  <w:num w:numId="18">
    <w:abstractNumId w:val="2"/>
  </w:num>
  <w:num w:numId="19">
    <w:abstractNumId w:val="21"/>
  </w:num>
  <w:num w:numId="20">
    <w:abstractNumId w:val="0"/>
  </w:num>
  <w:num w:numId="21">
    <w:abstractNumId w:val="31"/>
  </w:num>
  <w:num w:numId="22">
    <w:abstractNumId w:val="1"/>
  </w:num>
  <w:num w:numId="23">
    <w:abstractNumId w:val="20"/>
  </w:num>
  <w:num w:numId="24">
    <w:abstractNumId w:val="18"/>
  </w:num>
  <w:num w:numId="25">
    <w:abstractNumId w:val="17"/>
  </w:num>
  <w:num w:numId="26">
    <w:abstractNumId w:val="22"/>
  </w:num>
  <w:num w:numId="27">
    <w:abstractNumId w:val="26"/>
  </w:num>
  <w:num w:numId="28">
    <w:abstractNumId w:val="19"/>
  </w:num>
  <w:num w:numId="29">
    <w:abstractNumId w:val="14"/>
  </w:num>
  <w:num w:numId="30">
    <w:abstractNumId w:val="6"/>
  </w:num>
  <w:num w:numId="31">
    <w:abstractNumId w:val="24"/>
  </w:num>
  <w:num w:numId="3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8"/>
  <w:bordersDoNotSurroundHeader/>
  <w:bordersDoNotSurroundFooter/>
  <w:doNotTrackMoves/>
  <w:doNotTrackFormatting/>
  <w:defaultTabStop w:val="840"/>
  <w:drawingGridHorizontalSpacing w:val="105"/>
  <w:displayHorizontalDrawingGridEvery w:val="0"/>
  <w:displayVerticalDrawingGridEvery w:val="2"/>
  <w:characterSpacingControl w:val="compressPunctuation"/>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0ED6"/>
    <w:rsid w:val="000033F3"/>
    <w:rsid w:val="00005DC9"/>
    <w:rsid w:val="00014EEB"/>
    <w:rsid w:val="00015BE4"/>
    <w:rsid w:val="00040B53"/>
    <w:rsid w:val="0005190C"/>
    <w:rsid w:val="00051D26"/>
    <w:rsid w:val="00052D5F"/>
    <w:rsid w:val="000538DE"/>
    <w:rsid w:val="000542DF"/>
    <w:rsid w:val="000621F2"/>
    <w:rsid w:val="00063A48"/>
    <w:rsid w:val="00063C70"/>
    <w:rsid w:val="00066258"/>
    <w:rsid w:val="00071C97"/>
    <w:rsid w:val="00073FAE"/>
    <w:rsid w:val="00076189"/>
    <w:rsid w:val="000776ED"/>
    <w:rsid w:val="00084B0E"/>
    <w:rsid w:val="000959E4"/>
    <w:rsid w:val="000A77AA"/>
    <w:rsid w:val="000B1A14"/>
    <w:rsid w:val="000B2D88"/>
    <w:rsid w:val="000C4C83"/>
    <w:rsid w:val="000C7351"/>
    <w:rsid w:val="000C7B26"/>
    <w:rsid w:val="000D7A5F"/>
    <w:rsid w:val="000E0D53"/>
    <w:rsid w:val="000E7256"/>
    <w:rsid w:val="000E7BE2"/>
    <w:rsid w:val="000F2714"/>
    <w:rsid w:val="0010192F"/>
    <w:rsid w:val="00101B9D"/>
    <w:rsid w:val="001023B8"/>
    <w:rsid w:val="0010547E"/>
    <w:rsid w:val="00105D81"/>
    <w:rsid w:val="001227BC"/>
    <w:rsid w:val="00122962"/>
    <w:rsid w:val="00130BAE"/>
    <w:rsid w:val="00133AF3"/>
    <w:rsid w:val="00140BD6"/>
    <w:rsid w:val="00141EF9"/>
    <w:rsid w:val="00142CE7"/>
    <w:rsid w:val="00143982"/>
    <w:rsid w:val="00144334"/>
    <w:rsid w:val="0015107B"/>
    <w:rsid w:val="00152CAC"/>
    <w:rsid w:val="00154CDF"/>
    <w:rsid w:val="0016247D"/>
    <w:rsid w:val="00167424"/>
    <w:rsid w:val="00170E9B"/>
    <w:rsid w:val="00171698"/>
    <w:rsid w:val="00176494"/>
    <w:rsid w:val="00184AA0"/>
    <w:rsid w:val="00184DEE"/>
    <w:rsid w:val="001854C7"/>
    <w:rsid w:val="00185FAF"/>
    <w:rsid w:val="00186A7E"/>
    <w:rsid w:val="00191563"/>
    <w:rsid w:val="00193037"/>
    <w:rsid w:val="00193923"/>
    <w:rsid w:val="00194FBF"/>
    <w:rsid w:val="00195FE5"/>
    <w:rsid w:val="001A51D3"/>
    <w:rsid w:val="001B1FEA"/>
    <w:rsid w:val="001B33A7"/>
    <w:rsid w:val="001B6C60"/>
    <w:rsid w:val="001B6F4A"/>
    <w:rsid w:val="001B7E98"/>
    <w:rsid w:val="001D05F5"/>
    <w:rsid w:val="001D09BF"/>
    <w:rsid w:val="001D40D5"/>
    <w:rsid w:val="001D6460"/>
    <w:rsid w:val="001D6B2C"/>
    <w:rsid w:val="001D729A"/>
    <w:rsid w:val="001E0DCB"/>
    <w:rsid w:val="001E793E"/>
    <w:rsid w:val="00201B27"/>
    <w:rsid w:val="002154A2"/>
    <w:rsid w:val="00221F5B"/>
    <w:rsid w:val="00222F69"/>
    <w:rsid w:val="00223AEF"/>
    <w:rsid w:val="00225D27"/>
    <w:rsid w:val="00227E6D"/>
    <w:rsid w:val="00234558"/>
    <w:rsid w:val="00243F7C"/>
    <w:rsid w:val="0024509D"/>
    <w:rsid w:val="00257C0F"/>
    <w:rsid w:val="002600E9"/>
    <w:rsid w:val="00267A34"/>
    <w:rsid w:val="0027093E"/>
    <w:rsid w:val="00272522"/>
    <w:rsid w:val="00273748"/>
    <w:rsid w:val="0028492F"/>
    <w:rsid w:val="00285B94"/>
    <w:rsid w:val="002941AC"/>
    <w:rsid w:val="002A1F14"/>
    <w:rsid w:val="002A3773"/>
    <w:rsid w:val="002A521C"/>
    <w:rsid w:val="002A5AF5"/>
    <w:rsid w:val="002A72DA"/>
    <w:rsid w:val="002B57C0"/>
    <w:rsid w:val="002D09FF"/>
    <w:rsid w:val="002D25D8"/>
    <w:rsid w:val="002D69AA"/>
    <w:rsid w:val="002D6D5A"/>
    <w:rsid w:val="002D79D4"/>
    <w:rsid w:val="002E0723"/>
    <w:rsid w:val="002E0735"/>
    <w:rsid w:val="002E2783"/>
    <w:rsid w:val="002E6B72"/>
    <w:rsid w:val="002F0C3F"/>
    <w:rsid w:val="002F256A"/>
    <w:rsid w:val="00300B99"/>
    <w:rsid w:val="00300C51"/>
    <w:rsid w:val="0030392D"/>
    <w:rsid w:val="00315F7F"/>
    <w:rsid w:val="00316701"/>
    <w:rsid w:val="003167C9"/>
    <w:rsid w:val="00333BDA"/>
    <w:rsid w:val="00335F82"/>
    <w:rsid w:val="00337503"/>
    <w:rsid w:val="00340325"/>
    <w:rsid w:val="00340613"/>
    <w:rsid w:val="00345A3D"/>
    <w:rsid w:val="00347F79"/>
    <w:rsid w:val="00386229"/>
    <w:rsid w:val="003A487A"/>
    <w:rsid w:val="003B0620"/>
    <w:rsid w:val="003B0BA2"/>
    <w:rsid w:val="003B15E5"/>
    <w:rsid w:val="003B337C"/>
    <w:rsid w:val="003B33C6"/>
    <w:rsid w:val="003B647C"/>
    <w:rsid w:val="003B7523"/>
    <w:rsid w:val="003C3395"/>
    <w:rsid w:val="003C7314"/>
    <w:rsid w:val="003C7A58"/>
    <w:rsid w:val="003D0624"/>
    <w:rsid w:val="003D6646"/>
    <w:rsid w:val="003E0D62"/>
    <w:rsid w:val="003E4800"/>
    <w:rsid w:val="003F1D10"/>
    <w:rsid w:val="003F3480"/>
    <w:rsid w:val="003F6EBF"/>
    <w:rsid w:val="004030D8"/>
    <w:rsid w:val="00404965"/>
    <w:rsid w:val="004058F9"/>
    <w:rsid w:val="004060BD"/>
    <w:rsid w:val="00413954"/>
    <w:rsid w:val="00417A6E"/>
    <w:rsid w:val="00431C00"/>
    <w:rsid w:val="00431FC9"/>
    <w:rsid w:val="004343A4"/>
    <w:rsid w:val="00436FD6"/>
    <w:rsid w:val="004428E9"/>
    <w:rsid w:val="00444565"/>
    <w:rsid w:val="00445732"/>
    <w:rsid w:val="00452CA6"/>
    <w:rsid w:val="00462BC5"/>
    <w:rsid w:val="00462D1B"/>
    <w:rsid w:val="00463922"/>
    <w:rsid w:val="00466F29"/>
    <w:rsid w:val="00474F10"/>
    <w:rsid w:val="004814AF"/>
    <w:rsid w:val="00491BB2"/>
    <w:rsid w:val="004A6661"/>
    <w:rsid w:val="004B32E7"/>
    <w:rsid w:val="004B4FE7"/>
    <w:rsid w:val="004B6736"/>
    <w:rsid w:val="004B6BDE"/>
    <w:rsid w:val="004B6C8F"/>
    <w:rsid w:val="004C183D"/>
    <w:rsid w:val="004C3EC1"/>
    <w:rsid w:val="004C532B"/>
    <w:rsid w:val="004C5579"/>
    <w:rsid w:val="004C7490"/>
    <w:rsid w:val="004D7E00"/>
    <w:rsid w:val="004E4A78"/>
    <w:rsid w:val="004E5135"/>
    <w:rsid w:val="004E6267"/>
    <w:rsid w:val="004F0063"/>
    <w:rsid w:val="004F0300"/>
    <w:rsid w:val="004F1289"/>
    <w:rsid w:val="004F7B67"/>
    <w:rsid w:val="00506041"/>
    <w:rsid w:val="00512533"/>
    <w:rsid w:val="0051319F"/>
    <w:rsid w:val="00516011"/>
    <w:rsid w:val="00530ED6"/>
    <w:rsid w:val="00531353"/>
    <w:rsid w:val="00532F30"/>
    <w:rsid w:val="005371FF"/>
    <w:rsid w:val="005618A2"/>
    <w:rsid w:val="00574533"/>
    <w:rsid w:val="00574A24"/>
    <w:rsid w:val="00581674"/>
    <w:rsid w:val="00584042"/>
    <w:rsid w:val="00584C81"/>
    <w:rsid w:val="00585F81"/>
    <w:rsid w:val="0059139A"/>
    <w:rsid w:val="005962AC"/>
    <w:rsid w:val="005C1D74"/>
    <w:rsid w:val="005C2F28"/>
    <w:rsid w:val="005C5255"/>
    <w:rsid w:val="005C5F0E"/>
    <w:rsid w:val="005D0676"/>
    <w:rsid w:val="005D0A59"/>
    <w:rsid w:val="005D476B"/>
    <w:rsid w:val="005F0027"/>
    <w:rsid w:val="005F69AB"/>
    <w:rsid w:val="005F7555"/>
    <w:rsid w:val="00610E35"/>
    <w:rsid w:val="00614A8D"/>
    <w:rsid w:val="00621BC2"/>
    <w:rsid w:val="0062357A"/>
    <w:rsid w:val="0062523C"/>
    <w:rsid w:val="00626448"/>
    <w:rsid w:val="006404A9"/>
    <w:rsid w:val="006418F7"/>
    <w:rsid w:val="006438C0"/>
    <w:rsid w:val="00645E05"/>
    <w:rsid w:val="00646586"/>
    <w:rsid w:val="006508AD"/>
    <w:rsid w:val="00652486"/>
    <w:rsid w:val="00656C0D"/>
    <w:rsid w:val="00665703"/>
    <w:rsid w:val="00673498"/>
    <w:rsid w:val="0067683F"/>
    <w:rsid w:val="006800AD"/>
    <w:rsid w:val="006815BF"/>
    <w:rsid w:val="00683B94"/>
    <w:rsid w:val="006854D8"/>
    <w:rsid w:val="00695023"/>
    <w:rsid w:val="006A1DAA"/>
    <w:rsid w:val="006A2BC2"/>
    <w:rsid w:val="006B3DD8"/>
    <w:rsid w:val="006B441F"/>
    <w:rsid w:val="006C2D04"/>
    <w:rsid w:val="006C3AEB"/>
    <w:rsid w:val="006C3FD8"/>
    <w:rsid w:val="006C47C5"/>
    <w:rsid w:val="006D6F28"/>
    <w:rsid w:val="006F0C60"/>
    <w:rsid w:val="00701A3E"/>
    <w:rsid w:val="007037B9"/>
    <w:rsid w:val="00704420"/>
    <w:rsid w:val="00704687"/>
    <w:rsid w:val="007060B2"/>
    <w:rsid w:val="00706A97"/>
    <w:rsid w:val="00712D95"/>
    <w:rsid w:val="00715459"/>
    <w:rsid w:val="00715648"/>
    <w:rsid w:val="00716936"/>
    <w:rsid w:val="00720E40"/>
    <w:rsid w:val="0072286D"/>
    <w:rsid w:val="0073358E"/>
    <w:rsid w:val="007345F0"/>
    <w:rsid w:val="00743ECC"/>
    <w:rsid w:val="007453D2"/>
    <w:rsid w:val="00746314"/>
    <w:rsid w:val="00746BA6"/>
    <w:rsid w:val="007504F5"/>
    <w:rsid w:val="00752525"/>
    <w:rsid w:val="007541B3"/>
    <w:rsid w:val="007562BD"/>
    <w:rsid w:val="007775EF"/>
    <w:rsid w:val="00786B9D"/>
    <w:rsid w:val="00793FEF"/>
    <w:rsid w:val="007A22EF"/>
    <w:rsid w:val="007A383E"/>
    <w:rsid w:val="007B20F9"/>
    <w:rsid w:val="007B7294"/>
    <w:rsid w:val="007C6E3D"/>
    <w:rsid w:val="007D19BB"/>
    <w:rsid w:val="007E14F1"/>
    <w:rsid w:val="007E791B"/>
    <w:rsid w:val="007F4968"/>
    <w:rsid w:val="007F4A37"/>
    <w:rsid w:val="00802CAD"/>
    <w:rsid w:val="00803180"/>
    <w:rsid w:val="00807410"/>
    <w:rsid w:val="0081179F"/>
    <w:rsid w:val="008165AF"/>
    <w:rsid w:val="00817BC8"/>
    <w:rsid w:val="00822489"/>
    <w:rsid w:val="00825828"/>
    <w:rsid w:val="00834BC3"/>
    <w:rsid w:val="008370EA"/>
    <w:rsid w:val="0084008A"/>
    <w:rsid w:val="0084199A"/>
    <w:rsid w:val="00843F0B"/>
    <w:rsid w:val="00851300"/>
    <w:rsid w:val="0085234D"/>
    <w:rsid w:val="008605D1"/>
    <w:rsid w:val="008730A3"/>
    <w:rsid w:val="00873326"/>
    <w:rsid w:val="008820C4"/>
    <w:rsid w:val="0088329B"/>
    <w:rsid w:val="00883C55"/>
    <w:rsid w:val="008904C1"/>
    <w:rsid w:val="0089548E"/>
    <w:rsid w:val="008A2A86"/>
    <w:rsid w:val="008A347D"/>
    <w:rsid w:val="008B03B2"/>
    <w:rsid w:val="008B0866"/>
    <w:rsid w:val="008B2D24"/>
    <w:rsid w:val="008B5000"/>
    <w:rsid w:val="008B755E"/>
    <w:rsid w:val="008C0E66"/>
    <w:rsid w:val="008C6F25"/>
    <w:rsid w:val="008D5000"/>
    <w:rsid w:val="008D64C6"/>
    <w:rsid w:val="008E4272"/>
    <w:rsid w:val="008F62F2"/>
    <w:rsid w:val="008F650B"/>
    <w:rsid w:val="0091081A"/>
    <w:rsid w:val="0091755F"/>
    <w:rsid w:val="00925964"/>
    <w:rsid w:val="009358E2"/>
    <w:rsid w:val="00935D49"/>
    <w:rsid w:val="00940E8D"/>
    <w:rsid w:val="0094678C"/>
    <w:rsid w:val="009603B6"/>
    <w:rsid w:val="00962479"/>
    <w:rsid w:val="00966692"/>
    <w:rsid w:val="00986AC8"/>
    <w:rsid w:val="00990686"/>
    <w:rsid w:val="0099772F"/>
    <w:rsid w:val="009A0822"/>
    <w:rsid w:val="009A1887"/>
    <w:rsid w:val="009A1931"/>
    <w:rsid w:val="009A4EB4"/>
    <w:rsid w:val="009A61AC"/>
    <w:rsid w:val="009A7F88"/>
    <w:rsid w:val="009B5869"/>
    <w:rsid w:val="009B5F59"/>
    <w:rsid w:val="009C4C58"/>
    <w:rsid w:val="009C55AE"/>
    <w:rsid w:val="009D1DA0"/>
    <w:rsid w:val="009D36BC"/>
    <w:rsid w:val="009D3E79"/>
    <w:rsid w:val="009D6E6E"/>
    <w:rsid w:val="009E1A9D"/>
    <w:rsid w:val="009E45C3"/>
    <w:rsid w:val="009F5CB8"/>
    <w:rsid w:val="00A033EB"/>
    <w:rsid w:val="00A050AD"/>
    <w:rsid w:val="00A05701"/>
    <w:rsid w:val="00A10D1C"/>
    <w:rsid w:val="00A115EC"/>
    <w:rsid w:val="00A13E03"/>
    <w:rsid w:val="00A23473"/>
    <w:rsid w:val="00A23AB4"/>
    <w:rsid w:val="00A24424"/>
    <w:rsid w:val="00A25C3F"/>
    <w:rsid w:val="00A26C3B"/>
    <w:rsid w:val="00A45C8D"/>
    <w:rsid w:val="00A53036"/>
    <w:rsid w:val="00A6208A"/>
    <w:rsid w:val="00A637D5"/>
    <w:rsid w:val="00A65A1E"/>
    <w:rsid w:val="00A7115D"/>
    <w:rsid w:val="00A73171"/>
    <w:rsid w:val="00A758B2"/>
    <w:rsid w:val="00A77090"/>
    <w:rsid w:val="00A77AD0"/>
    <w:rsid w:val="00A856C4"/>
    <w:rsid w:val="00A85A11"/>
    <w:rsid w:val="00A86174"/>
    <w:rsid w:val="00A86B47"/>
    <w:rsid w:val="00A872B3"/>
    <w:rsid w:val="00A90D9F"/>
    <w:rsid w:val="00A93537"/>
    <w:rsid w:val="00A93593"/>
    <w:rsid w:val="00AA2EF6"/>
    <w:rsid w:val="00AB68A4"/>
    <w:rsid w:val="00AC440A"/>
    <w:rsid w:val="00AC6619"/>
    <w:rsid w:val="00AC78C5"/>
    <w:rsid w:val="00AC7E94"/>
    <w:rsid w:val="00AD05B2"/>
    <w:rsid w:val="00AD4737"/>
    <w:rsid w:val="00AD4BBD"/>
    <w:rsid w:val="00AD7151"/>
    <w:rsid w:val="00AE132D"/>
    <w:rsid w:val="00AE2C4C"/>
    <w:rsid w:val="00AE3702"/>
    <w:rsid w:val="00AF235D"/>
    <w:rsid w:val="00B001D4"/>
    <w:rsid w:val="00B038D4"/>
    <w:rsid w:val="00B06F4E"/>
    <w:rsid w:val="00B128DA"/>
    <w:rsid w:val="00B14A69"/>
    <w:rsid w:val="00B16D4E"/>
    <w:rsid w:val="00B234BA"/>
    <w:rsid w:val="00B27585"/>
    <w:rsid w:val="00B35125"/>
    <w:rsid w:val="00B36343"/>
    <w:rsid w:val="00B37DBA"/>
    <w:rsid w:val="00B46BA2"/>
    <w:rsid w:val="00B625FA"/>
    <w:rsid w:val="00B772EB"/>
    <w:rsid w:val="00B810BD"/>
    <w:rsid w:val="00B9021B"/>
    <w:rsid w:val="00B92C0B"/>
    <w:rsid w:val="00B94057"/>
    <w:rsid w:val="00B971E5"/>
    <w:rsid w:val="00B97E1D"/>
    <w:rsid w:val="00BB382A"/>
    <w:rsid w:val="00BC0D36"/>
    <w:rsid w:val="00BC2435"/>
    <w:rsid w:val="00BD210C"/>
    <w:rsid w:val="00BD51BB"/>
    <w:rsid w:val="00BF6CC2"/>
    <w:rsid w:val="00C00ADB"/>
    <w:rsid w:val="00C03CF4"/>
    <w:rsid w:val="00C13FD5"/>
    <w:rsid w:val="00C14BEB"/>
    <w:rsid w:val="00C2465C"/>
    <w:rsid w:val="00C27314"/>
    <w:rsid w:val="00C278E0"/>
    <w:rsid w:val="00C31296"/>
    <w:rsid w:val="00C36FA7"/>
    <w:rsid w:val="00C45864"/>
    <w:rsid w:val="00C4664D"/>
    <w:rsid w:val="00C51B67"/>
    <w:rsid w:val="00C61569"/>
    <w:rsid w:val="00C819FC"/>
    <w:rsid w:val="00C85762"/>
    <w:rsid w:val="00C876CA"/>
    <w:rsid w:val="00C87F90"/>
    <w:rsid w:val="00C9124D"/>
    <w:rsid w:val="00C9548C"/>
    <w:rsid w:val="00CA006C"/>
    <w:rsid w:val="00CA6B75"/>
    <w:rsid w:val="00CA7EFD"/>
    <w:rsid w:val="00CB66C0"/>
    <w:rsid w:val="00CB6F2D"/>
    <w:rsid w:val="00CC1D2F"/>
    <w:rsid w:val="00CC411A"/>
    <w:rsid w:val="00CC7297"/>
    <w:rsid w:val="00CD0362"/>
    <w:rsid w:val="00CD4CA9"/>
    <w:rsid w:val="00CD79D6"/>
    <w:rsid w:val="00CE23E9"/>
    <w:rsid w:val="00CE4050"/>
    <w:rsid w:val="00CE471B"/>
    <w:rsid w:val="00D01999"/>
    <w:rsid w:val="00D0233A"/>
    <w:rsid w:val="00D10096"/>
    <w:rsid w:val="00D1334F"/>
    <w:rsid w:val="00D2483C"/>
    <w:rsid w:val="00D36D31"/>
    <w:rsid w:val="00D370C0"/>
    <w:rsid w:val="00D42BF0"/>
    <w:rsid w:val="00D434EE"/>
    <w:rsid w:val="00D52F44"/>
    <w:rsid w:val="00D54AC7"/>
    <w:rsid w:val="00D6172D"/>
    <w:rsid w:val="00D61814"/>
    <w:rsid w:val="00D61DB9"/>
    <w:rsid w:val="00D64BE9"/>
    <w:rsid w:val="00D66FD9"/>
    <w:rsid w:val="00D720DD"/>
    <w:rsid w:val="00D7410B"/>
    <w:rsid w:val="00D854B2"/>
    <w:rsid w:val="00D900A4"/>
    <w:rsid w:val="00D9062E"/>
    <w:rsid w:val="00D91193"/>
    <w:rsid w:val="00D9199C"/>
    <w:rsid w:val="00D96BAC"/>
    <w:rsid w:val="00D974C1"/>
    <w:rsid w:val="00DA1AAB"/>
    <w:rsid w:val="00DA6553"/>
    <w:rsid w:val="00DA66F1"/>
    <w:rsid w:val="00DB0873"/>
    <w:rsid w:val="00DB2245"/>
    <w:rsid w:val="00DB3C54"/>
    <w:rsid w:val="00DC1709"/>
    <w:rsid w:val="00DC37B2"/>
    <w:rsid w:val="00DC532F"/>
    <w:rsid w:val="00DC58D1"/>
    <w:rsid w:val="00DD2696"/>
    <w:rsid w:val="00DD28CA"/>
    <w:rsid w:val="00DD2A29"/>
    <w:rsid w:val="00DD38D2"/>
    <w:rsid w:val="00DD3CA5"/>
    <w:rsid w:val="00DD469A"/>
    <w:rsid w:val="00DD4B2A"/>
    <w:rsid w:val="00DE5F26"/>
    <w:rsid w:val="00DE7713"/>
    <w:rsid w:val="00DF6C37"/>
    <w:rsid w:val="00E0152D"/>
    <w:rsid w:val="00E04DE5"/>
    <w:rsid w:val="00E10AD4"/>
    <w:rsid w:val="00E12A1D"/>
    <w:rsid w:val="00E15CBD"/>
    <w:rsid w:val="00E16169"/>
    <w:rsid w:val="00E1713B"/>
    <w:rsid w:val="00E44C30"/>
    <w:rsid w:val="00E46807"/>
    <w:rsid w:val="00E46941"/>
    <w:rsid w:val="00E5214D"/>
    <w:rsid w:val="00E530AF"/>
    <w:rsid w:val="00E53D77"/>
    <w:rsid w:val="00E62452"/>
    <w:rsid w:val="00E6402E"/>
    <w:rsid w:val="00E67821"/>
    <w:rsid w:val="00E67BE8"/>
    <w:rsid w:val="00E81BD9"/>
    <w:rsid w:val="00E81DF9"/>
    <w:rsid w:val="00E82D41"/>
    <w:rsid w:val="00E91E8C"/>
    <w:rsid w:val="00EA5BCA"/>
    <w:rsid w:val="00EB2FF8"/>
    <w:rsid w:val="00EC027D"/>
    <w:rsid w:val="00EC1E01"/>
    <w:rsid w:val="00EC1E32"/>
    <w:rsid w:val="00EC661D"/>
    <w:rsid w:val="00EC671E"/>
    <w:rsid w:val="00EC6D2C"/>
    <w:rsid w:val="00EC7BD4"/>
    <w:rsid w:val="00ED22E2"/>
    <w:rsid w:val="00ED3D3F"/>
    <w:rsid w:val="00EE5419"/>
    <w:rsid w:val="00EE5A85"/>
    <w:rsid w:val="00EF709E"/>
    <w:rsid w:val="00F06CF6"/>
    <w:rsid w:val="00F15B07"/>
    <w:rsid w:val="00F203D3"/>
    <w:rsid w:val="00F20492"/>
    <w:rsid w:val="00F23629"/>
    <w:rsid w:val="00F23E92"/>
    <w:rsid w:val="00F26BF6"/>
    <w:rsid w:val="00F30A92"/>
    <w:rsid w:val="00F5059F"/>
    <w:rsid w:val="00F52491"/>
    <w:rsid w:val="00F52620"/>
    <w:rsid w:val="00F550E3"/>
    <w:rsid w:val="00F56986"/>
    <w:rsid w:val="00F60770"/>
    <w:rsid w:val="00F735BD"/>
    <w:rsid w:val="00F811F8"/>
    <w:rsid w:val="00F91F69"/>
    <w:rsid w:val="00F94391"/>
    <w:rsid w:val="00FA5729"/>
    <w:rsid w:val="00FB144C"/>
    <w:rsid w:val="00FB307B"/>
    <w:rsid w:val="00FB3F55"/>
    <w:rsid w:val="00FB5634"/>
    <w:rsid w:val="00FB6A9F"/>
    <w:rsid w:val="00FC4967"/>
    <w:rsid w:val="00FC63E8"/>
    <w:rsid w:val="00FD0A27"/>
    <w:rsid w:val="00FD1224"/>
    <w:rsid w:val="00FD57B6"/>
    <w:rsid w:val="00FE32F1"/>
    <w:rsid w:val="00FE4B85"/>
    <w:rsid w:val="00FE4DB7"/>
    <w:rsid w:val="00FE5CE7"/>
    <w:rsid w:val="00FF6A8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next w:val="a"/>
    <w:link w:val="10"/>
    <w:uiPriority w:val="9"/>
    <w:qFormat/>
    <w:rsid w:val="000B2D88"/>
    <w:pPr>
      <w:keepNext/>
      <w:outlineLvl w:val="0"/>
    </w:pPr>
    <w:rPr>
      <w:rFonts w:asciiTheme="majorHAnsi" w:eastAsiaTheme="majorEastAsia" w:hAnsiTheme="majorHAnsi" w:cstheme="majorBid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46BA6"/>
    <w:pPr>
      <w:ind w:leftChars="400" w:left="840"/>
    </w:pPr>
  </w:style>
  <w:style w:type="table" w:styleId="a4">
    <w:name w:val="Table Grid"/>
    <w:basedOn w:val="a1"/>
    <w:uiPriority w:val="59"/>
    <w:rsid w:val="00130B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unhideWhenUsed/>
    <w:rsid w:val="00D2483C"/>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5">
    <w:name w:val="Hyperlink"/>
    <w:basedOn w:val="a0"/>
    <w:uiPriority w:val="99"/>
    <w:semiHidden/>
    <w:unhideWhenUsed/>
    <w:rsid w:val="00A23AB4"/>
    <w:rPr>
      <w:color w:val="0000FF"/>
      <w:u w:val="single"/>
    </w:rPr>
  </w:style>
  <w:style w:type="paragraph" w:styleId="a6">
    <w:name w:val="Balloon Text"/>
    <w:basedOn w:val="a"/>
    <w:link w:val="a7"/>
    <w:uiPriority w:val="99"/>
    <w:semiHidden/>
    <w:unhideWhenUsed/>
    <w:rsid w:val="00445732"/>
    <w:rPr>
      <w:rFonts w:asciiTheme="majorHAnsi" w:eastAsiaTheme="majorEastAsia" w:hAnsiTheme="majorHAnsi" w:cstheme="majorBidi"/>
      <w:sz w:val="18"/>
      <w:szCs w:val="18"/>
    </w:rPr>
  </w:style>
  <w:style w:type="character" w:customStyle="1" w:styleId="a7">
    <w:name w:val="吹き出し (文字)"/>
    <w:basedOn w:val="a0"/>
    <w:link w:val="a6"/>
    <w:uiPriority w:val="99"/>
    <w:semiHidden/>
    <w:rsid w:val="00445732"/>
    <w:rPr>
      <w:rFonts w:asciiTheme="majorHAnsi" w:eastAsiaTheme="majorEastAsia" w:hAnsiTheme="majorHAnsi" w:cstheme="majorBidi"/>
      <w:sz w:val="18"/>
      <w:szCs w:val="18"/>
    </w:rPr>
  </w:style>
  <w:style w:type="paragraph" w:styleId="a8">
    <w:name w:val="header"/>
    <w:basedOn w:val="a"/>
    <w:link w:val="a9"/>
    <w:uiPriority w:val="99"/>
    <w:unhideWhenUsed/>
    <w:rsid w:val="007C6E3D"/>
    <w:pPr>
      <w:tabs>
        <w:tab w:val="center" w:pos="4252"/>
        <w:tab w:val="right" w:pos="8504"/>
      </w:tabs>
      <w:snapToGrid w:val="0"/>
    </w:pPr>
  </w:style>
  <w:style w:type="character" w:customStyle="1" w:styleId="a9">
    <w:name w:val="ヘッダー (文字)"/>
    <w:basedOn w:val="a0"/>
    <w:link w:val="a8"/>
    <w:uiPriority w:val="99"/>
    <w:rsid w:val="007C6E3D"/>
  </w:style>
  <w:style w:type="paragraph" w:styleId="aa">
    <w:name w:val="footer"/>
    <w:basedOn w:val="a"/>
    <w:link w:val="ab"/>
    <w:uiPriority w:val="99"/>
    <w:unhideWhenUsed/>
    <w:rsid w:val="007C6E3D"/>
    <w:pPr>
      <w:tabs>
        <w:tab w:val="center" w:pos="4252"/>
        <w:tab w:val="right" w:pos="8504"/>
      </w:tabs>
      <w:snapToGrid w:val="0"/>
    </w:pPr>
  </w:style>
  <w:style w:type="character" w:customStyle="1" w:styleId="ab">
    <w:name w:val="フッター (文字)"/>
    <w:basedOn w:val="a0"/>
    <w:link w:val="aa"/>
    <w:uiPriority w:val="99"/>
    <w:rsid w:val="007C6E3D"/>
  </w:style>
  <w:style w:type="paragraph" w:customStyle="1" w:styleId="Default">
    <w:name w:val="Default"/>
    <w:rsid w:val="007C6E3D"/>
    <w:pPr>
      <w:widowControl w:val="0"/>
      <w:autoSpaceDE w:val="0"/>
      <w:autoSpaceDN w:val="0"/>
      <w:adjustRightInd w:val="0"/>
    </w:pPr>
    <w:rPr>
      <w:rFonts w:ascii="ＭＳ" w:eastAsia="ＭＳ" w:cs="ＭＳ"/>
      <w:color w:val="000000"/>
      <w:kern w:val="0"/>
      <w:sz w:val="24"/>
      <w:szCs w:val="24"/>
    </w:rPr>
  </w:style>
  <w:style w:type="character" w:styleId="ac">
    <w:name w:val="Placeholder Text"/>
    <w:basedOn w:val="a0"/>
    <w:uiPriority w:val="99"/>
    <w:semiHidden/>
    <w:rsid w:val="002D25D8"/>
    <w:rPr>
      <w:color w:val="808080"/>
    </w:rPr>
  </w:style>
  <w:style w:type="character" w:customStyle="1" w:styleId="10">
    <w:name w:val="見出し 1 (文字)"/>
    <w:basedOn w:val="a0"/>
    <w:link w:val="1"/>
    <w:uiPriority w:val="9"/>
    <w:rsid w:val="000B2D88"/>
    <w:rPr>
      <w:rFonts w:asciiTheme="majorHAnsi" w:eastAsiaTheme="majorEastAsia" w:hAnsiTheme="majorHAnsi" w:cstheme="majorBidi"/>
      <w:sz w:val="24"/>
      <w:szCs w:val="24"/>
    </w:rPr>
  </w:style>
  <w:style w:type="paragraph" w:styleId="ad">
    <w:name w:val="Revision"/>
    <w:hidden/>
    <w:uiPriority w:val="99"/>
    <w:semiHidden/>
    <w:rsid w:val="00FB3F5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next w:val="a"/>
    <w:link w:val="10"/>
    <w:uiPriority w:val="9"/>
    <w:qFormat/>
    <w:rsid w:val="000B2D88"/>
    <w:pPr>
      <w:keepNext/>
      <w:outlineLvl w:val="0"/>
    </w:pPr>
    <w:rPr>
      <w:rFonts w:asciiTheme="majorHAnsi" w:eastAsiaTheme="majorEastAsia" w:hAnsiTheme="majorHAnsi" w:cstheme="majorBid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46BA6"/>
    <w:pPr>
      <w:ind w:leftChars="400" w:left="840"/>
    </w:pPr>
  </w:style>
  <w:style w:type="table" w:styleId="a4">
    <w:name w:val="Table Grid"/>
    <w:basedOn w:val="a1"/>
    <w:uiPriority w:val="59"/>
    <w:rsid w:val="00130B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unhideWhenUsed/>
    <w:rsid w:val="00D2483C"/>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5">
    <w:name w:val="Hyperlink"/>
    <w:basedOn w:val="a0"/>
    <w:uiPriority w:val="99"/>
    <w:semiHidden/>
    <w:unhideWhenUsed/>
    <w:rsid w:val="00A23AB4"/>
    <w:rPr>
      <w:color w:val="0000FF"/>
      <w:u w:val="single"/>
    </w:rPr>
  </w:style>
  <w:style w:type="paragraph" w:styleId="a6">
    <w:name w:val="Balloon Text"/>
    <w:basedOn w:val="a"/>
    <w:link w:val="a7"/>
    <w:uiPriority w:val="99"/>
    <w:semiHidden/>
    <w:unhideWhenUsed/>
    <w:rsid w:val="00445732"/>
    <w:rPr>
      <w:rFonts w:asciiTheme="majorHAnsi" w:eastAsiaTheme="majorEastAsia" w:hAnsiTheme="majorHAnsi" w:cstheme="majorBidi"/>
      <w:sz w:val="18"/>
      <w:szCs w:val="18"/>
    </w:rPr>
  </w:style>
  <w:style w:type="character" w:customStyle="1" w:styleId="a7">
    <w:name w:val="吹き出し (文字)"/>
    <w:basedOn w:val="a0"/>
    <w:link w:val="a6"/>
    <w:uiPriority w:val="99"/>
    <w:semiHidden/>
    <w:rsid w:val="00445732"/>
    <w:rPr>
      <w:rFonts w:asciiTheme="majorHAnsi" w:eastAsiaTheme="majorEastAsia" w:hAnsiTheme="majorHAnsi" w:cstheme="majorBidi"/>
      <w:sz w:val="18"/>
      <w:szCs w:val="18"/>
    </w:rPr>
  </w:style>
  <w:style w:type="paragraph" w:styleId="a8">
    <w:name w:val="header"/>
    <w:basedOn w:val="a"/>
    <w:link w:val="a9"/>
    <w:uiPriority w:val="99"/>
    <w:unhideWhenUsed/>
    <w:rsid w:val="007C6E3D"/>
    <w:pPr>
      <w:tabs>
        <w:tab w:val="center" w:pos="4252"/>
        <w:tab w:val="right" w:pos="8504"/>
      </w:tabs>
      <w:snapToGrid w:val="0"/>
    </w:pPr>
  </w:style>
  <w:style w:type="character" w:customStyle="1" w:styleId="a9">
    <w:name w:val="ヘッダー (文字)"/>
    <w:basedOn w:val="a0"/>
    <w:link w:val="a8"/>
    <w:uiPriority w:val="99"/>
    <w:rsid w:val="007C6E3D"/>
  </w:style>
  <w:style w:type="paragraph" w:styleId="aa">
    <w:name w:val="footer"/>
    <w:basedOn w:val="a"/>
    <w:link w:val="ab"/>
    <w:uiPriority w:val="99"/>
    <w:unhideWhenUsed/>
    <w:rsid w:val="007C6E3D"/>
    <w:pPr>
      <w:tabs>
        <w:tab w:val="center" w:pos="4252"/>
        <w:tab w:val="right" w:pos="8504"/>
      </w:tabs>
      <w:snapToGrid w:val="0"/>
    </w:pPr>
  </w:style>
  <w:style w:type="character" w:customStyle="1" w:styleId="ab">
    <w:name w:val="フッター (文字)"/>
    <w:basedOn w:val="a0"/>
    <w:link w:val="aa"/>
    <w:uiPriority w:val="99"/>
    <w:rsid w:val="007C6E3D"/>
  </w:style>
  <w:style w:type="paragraph" w:customStyle="1" w:styleId="Default">
    <w:name w:val="Default"/>
    <w:rsid w:val="007C6E3D"/>
    <w:pPr>
      <w:widowControl w:val="0"/>
      <w:autoSpaceDE w:val="0"/>
      <w:autoSpaceDN w:val="0"/>
      <w:adjustRightInd w:val="0"/>
    </w:pPr>
    <w:rPr>
      <w:rFonts w:ascii="ＭＳ" w:eastAsia="ＭＳ" w:cs="ＭＳ"/>
      <w:color w:val="000000"/>
      <w:kern w:val="0"/>
      <w:sz w:val="24"/>
      <w:szCs w:val="24"/>
    </w:rPr>
  </w:style>
  <w:style w:type="character" w:styleId="ac">
    <w:name w:val="Placeholder Text"/>
    <w:basedOn w:val="a0"/>
    <w:uiPriority w:val="99"/>
    <w:semiHidden/>
    <w:rsid w:val="002D25D8"/>
    <w:rPr>
      <w:color w:val="808080"/>
    </w:rPr>
  </w:style>
  <w:style w:type="character" w:customStyle="1" w:styleId="10">
    <w:name w:val="見出し 1 (文字)"/>
    <w:basedOn w:val="a0"/>
    <w:link w:val="1"/>
    <w:uiPriority w:val="9"/>
    <w:rsid w:val="000B2D88"/>
    <w:rPr>
      <w:rFonts w:asciiTheme="majorHAnsi" w:eastAsiaTheme="majorEastAsia" w:hAnsiTheme="majorHAnsi" w:cstheme="majorBidi"/>
      <w:sz w:val="24"/>
      <w:szCs w:val="24"/>
    </w:rPr>
  </w:style>
  <w:style w:type="paragraph" w:styleId="ad">
    <w:name w:val="Revision"/>
    <w:hidden/>
    <w:uiPriority w:val="99"/>
    <w:semiHidden/>
    <w:rsid w:val="00FB3F5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5293868">
      <w:bodyDiv w:val="1"/>
      <w:marLeft w:val="0"/>
      <w:marRight w:val="0"/>
      <w:marTop w:val="0"/>
      <w:marBottom w:val="0"/>
      <w:divBdr>
        <w:top w:val="none" w:sz="0" w:space="0" w:color="auto"/>
        <w:left w:val="none" w:sz="0" w:space="0" w:color="auto"/>
        <w:bottom w:val="none" w:sz="0" w:space="0" w:color="auto"/>
        <w:right w:val="none" w:sz="0" w:space="0" w:color="auto"/>
      </w:divBdr>
    </w:div>
    <w:div w:id="158886496">
      <w:bodyDiv w:val="1"/>
      <w:marLeft w:val="0"/>
      <w:marRight w:val="0"/>
      <w:marTop w:val="0"/>
      <w:marBottom w:val="0"/>
      <w:divBdr>
        <w:top w:val="none" w:sz="0" w:space="0" w:color="auto"/>
        <w:left w:val="none" w:sz="0" w:space="0" w:color="auto"/>
        <w:bottom w:val="none" w:sz="0" w:space="0" w:color="auto"/>
        <w:right w:val="none" w:sz="0" w:space="0" w:color="auto"/>
      </w:divBdr>
    </w:div>
    <w:div w:id="353189986">
      <w:bodyDiv w:val="1"/>
      <w:marLeft w:val="0"/>
      <w:marRight w:val="0"/>
      <w:marTop w:val="0"/>
      <w:marBottom w:val="0"/>
      <w:divBdr>
        <w:top w:val="none" w:sz="0" w:space="0" w:color="auto"/>
        <w:left w:val="none" w:sz="0" w:space="0" w:color="auto"/>
        <w:bottom w:val="none" w:sz="0" w:space="0" w:color="auto"/>
        <w:right w:val="none" w:sz="0" w:space="0" w:color="auto"/>
      </w:divBdr>
    </w:div>
    <w:div w:id="665017529">
      <w:bodyDiv w:val="1"/>
      <w:marLeft w:val="0"/>
      <w:marRight w:val="0"/>
      <w:marTop w:val="0"/>
      <w:marBottom w:val="0"/>
      <w:divBdr>
        <w:top w:val="none" w:sz="0" w:space="0" w:color="auto"/>
        <w:left w:val="none" w:sz="0" w:space="0" w:color="auto"/>
        <w:bottom w:val="none" w:sz="0" w:space="0" w:color="auto"/>
        <w:right w:val="none" w:sz="0" w:space="0" w:color="auto"/>
      </w:divBdr>
    </w:div>
    <w:div w:id="808860239">
      <w:bodyDiv w:val="1"/>
      <w:marLeft w:val="0"/>
      <w:marRight w:val="0"/>
      <w:marTop w:val="0"/>
      <w:marBottom w:val="0"/>
      <w:divBdr>
        <w:top w:val="none" w:sz="0" w:space="0" w:color="auto"/>
        <w:left w:val="none" w:sz="0" w:space="0" w:color="auto"/>
        <w:bottom w:val="none" w:sz="0" w:space="0" w:color="auto"/>
        <w:right w:val="none" w:sz="0" w:space="0" w:color="auto"/>
      </w:divBdr>
      <w:divsChild>
        <w:div w:id="309331109">
          <w:marLeft w:val="547"/>
          <w:marRight w:val="0"/>
          <w:marTop w:val="115"/>
          <w:marBottom w:val="0"/>
          <w:divBdr>
            <w:top w:val="none" w:sz="0" w:space="0" w:color="auto"/>
            <w:left w:val="none" w:sz="0" w:space="0" w:color="auto"/>
            <w:bottom w:val="none" w:sz="0" w:space="0" w:color="auto"/>
            <w:right w:val="none" w:sz="0" w:space="0" w:color="auto"/>
          </w:divBdr>
        </w:div>
      </w:divsChild>
    </w:div>
    <w:div w:id="914240074">
      <w:bodyDiv w:val="1"/>
      <w:marLeft w:val="0"/>
      <w:marRight w:val="0"/>
      <w:marTop w:val="0"/>
      <w:marBottom w:val="0"/>
      <w:divBdr>
        <w:top w:val="none" w:sz="0" w:space="0" w:color="auto"/>
        <w:left w:val="none" w:sz="0" w:space="0" w:color="auto"/>
        <w:bottom w:val="none" w:sz="0" w:space="0" w:color="auto"/>
        <w:right w:val="none" w:sz="0" w:space="0" w:color="auto"/>
      </w:divBdr>
    </w:div>
    <w:div w:id="1068458741">
      <w:bodyDiv w:val="1"/>
      <w:marLeft w:val="0"/>
      <w:marRight w:val="0"/>
      <w:marTop w:val="0"/>
      <w:marBottom w:val="0"/>
      <w:divBdr>
        <w:top w:val="none" w:sz="0" w:space="0" w:color="auto"/>
        <w:left w:val="none" w:sz="0" w:space="0" w:color="auto"/>
        <w:bottom w:val="none" w:sz="0" w:space="0" w:color="auto"/>
        <w:right w:val="none" w:sz="0" w:space="0" w:color="auto"/>
      </w:divBdr>
      <w:divsChild>
        <w:div w:id="2027900288">
          <w:marLeft w:val="547"/>
          <w:marRight w:val="0"/>
          <w:marTop w:val="115"/>
          <w:marBottom w:val="0"/>
          <w:divBdr>
            <w:top w:val="none" w:sz="0" w:space="0" w:color="auto"/>
            <w:left w:val="none" w:sz="0" w:space="0" w:color="auto"/>
            <w:bottom w:val="none" w:sz="0" w:space="0" w:color="auto"/>
            <w:right w:val="none" w:sz="0" w:space="0" w:color="auto"/>
          </w:divBdr>
        </w:div>
      </w:divsChild>
    </w:div>
    <w:div w:id="1107503010">
      <w:bodyDiv w:val="1"/>
      <w:marLeft w:val="0"/>
      <w:marRight w:val="0"/>
      <w:marTop w:val="0"/>
      <w:marBottom w:val="0"/>
      <w:divBdr>
        <w:top w:val="none" w:sz="0" w:space="0" w:color="auto"/>
        <w:left w:val="none" w:sz="0" w:space="0" w:color="auto"/>
        <w:bottom w:val="none" w:sz="0" w:space="0" w:color="auto"/>
        <w:right w:val="none" w:sz="0" w:space="0" w:color="auto"/>
      </w:divBdr>
    </w:div>
    <w:div w:id="1269193345">
      <w:bodyDiv w:val="1"/>
      <w:marLeft w:val="0"/>
      <w:marRight w:val="0"/>
      <w:marTop w:val="0"/>
      <w:marBottom w:val="0"/>
      <w:divBdr>
        <w:top w:val="none" w:sz="0" w:space="0" w:color="auto"/>
        <w:left w:val="none" w:sz="0" w:space="0" w:color="auto"/>
        <w:bottom w:val="none" w:sz="0" w:space="0" w:color="auto"/>
        <w:right w:val="none" w:sz="0" w:space="0" w:color="auto"/>
      </w:divBdr>
      <w:divsChild>
        <w:div w:id="245652491">
          <w:marLeft w:val="547"/>
          <w:marRight w:val="0"/>
          <w:marTop w:val="0"/>
          <w:marBottom w:val="240"/>
          <w:divBdr>
            <w:top w:val="none" w:sz="0" w:space="0" w:color="auto"/>
            <w:left w:val="none" w:sz="0" w:space="0" w:color="auto"/>
            <w:bottom w:val="none" w:sz="0" w:space="0" w:color="auto"/>
            <w:right w:val="none" w:sz="0" w:space="0" w:color="auto"/>
          </w:divBdr>
        </w:div>
        <w:div w:id="1559825288">
          <w:marLeft w:val="547"/>
          <w:marRight w:val="0"/>
          <w:marTop w:val="0"/>
          <w:marBottom w:val="240"/>
          <w:divBdr>
            <w:top w:val="none" w:sz="0" w:space="0" w:color="auto"/>
            <w:left w:val="none" w:sz="0" w:space="0" w:color="auto"/>
            <w:bottom w:val="none" w:sz="0" w:space="0" w:color="auto"/>
            <w:right w:val="none" w:sz="0" w:space="0" w:color="auto"/>
          </w:divBdr>
        </w:div>
        <w:div w:id="1613513851">
          <w:marLeft w:val="547"/>
          <w:marRight w:val="0"/>
          <w:marTop w:val="0"/>
          <w:marBottom w:val="240"/>
          <w:divBdr>
            <w:top w:val="none" w:sz="0" w:space="0" w:color="auto"/>
            <w:left w:val="none" w:sz="0" w:space="0" w:color="auto"/>
            <w:bottom w:val="none" w:sz="0" w:space="0" w:color="auto"/>
            <w:right w:val="none" w:sz="0" w:space="0" w:color="auto"/>
          </w:divBdr>
        </w:div>
        <w:div w:id="1820918720">
          <w:marLeft w:val="547"/>
          <w:marRight w:val="0"/>
          <w:marTop w:val="0"/>
          <w:marBottom w:val="240"/>
          <w:divBdr>
            <w:top w:val="none" w:sz="0" w:space="0" w:color="auto"/>
            <w:left w:val="none" w:sz="0" w:space="0" w:color="auto"/>
            <w:bottom w:val="none" w:sz="0" w:space="0" w:color="auto"/>
            <w:right w:val="none" w:sz="0" w:space="0" w:color="auto"/>
          </w:divBdr>
        </w:div>
        <w:div w:id="1992908985">
          <w:marLeft w:val="547"/>
          <w:marRight w:val="0"/>
          <w:marTop w:val="0"/>
          <w:marBottom w:val="240"/>
          <w:divBdr>
            <w:top w:val="none" w:sz="0" w:space="0" w:color="auto"/>
            <w:left w:val="none" w:sz="0" w:space="0" w:color="auto"/>
            <w:bottom w:val="none" w:sz="0" w:space="0" w:color="auto"/>
            <w:right w:val="none" w:sz="0" w:space="0" w:color="auto"/>
          </w:divBdr>
        </w:div>
      </w:divsChild>
    </w:div>
    <w:div w:id="1304772359">
      <w:bodyDiv w:val="1"/>
      <w:marLeft w:val="0"/>
      <w:marRight w:val="0"/>
      <w:marTop w:val="0"/>
      <w:marBottom w:val="0"/>
      <w:divBdr>
        <w:top w:val="none" w:sz="0" w:space="0" w:color="auto"/>
        <w:left w:val="none" w:sz="0" w:space="0" w:color="auto"/>
        <w:bottom w:val="none" w:sz="0" w:space="0" w:color="auto"/>
        <w:right w:val="none" w:sz="0" w:space="0" w:color="auto"/>
      </w:divBdr>
      <w:divsChild>
        <w:div w:id="696471303">
          <w:marLeft w:val="547"/>
          <w:marRight w:val="0"/>
          <w:marTop w:val="115"/>
          <w:marBottom w:val="0"/>
          <w:divBdr>
            <w:top w:val="none" w:sz="0" w:space="0" w:color="auto"/>
            <w:left w:val="none" w:sz="0" w:space="0" w:color="auto"/>
            <w:bottom w:val="none" w:sz="0" w:space="0" w:color="auto"/>
            <w:right w:val="none" w:sz="0" w:space="0" w:color="auto"/>
          </w:divBdr>
        </w:div>
      </w:divsChild>
    </w:div>
    <w:div w:id="1381057576">
      <w:bodyDiv w:val="1"/>
      <w:marLeft w:val="0"/>
      <w:marRight w:val="0"/>
      <w:marTop w:val="0"/>
      <w:marBottom w:val="0"/>
      <w:divBdr>
        <w:top w:val="none" w:sz="0" w:space="0" w:color="auto"/>
        <w:left w:val="none" w:sz="0" w:space="0" w:color="auto"/>
        <w:bottom w:val="none" w:sz="0" w:space="0" w:color="auto"/>
        <w:right w:val="none" w:sz="0" w:space="0" w:color="auto"/>
      </w:divBdr>
    </w:div>
    <w:div w:id="1425761317">
      <w:bodyDiv w:val="1"/>
      <w:marLeft w:val="0"/>
      <w:marRight w:val="0"/>
      <w:marTop w:val="0"/>
      <w:marBottom w:val="0"/>
      <w:divBdr>
        <w:top w:val="none" w:sz="0" w:space="0" w:color="auto"/>
        <w:left w:val="none" w:sz="0" w:space="0" w:color="auto"/>
        <w:bottom w:val="none" w:sz="0" w:space="0" w:color="auto"/>
        <w:right w:val="none" w:sz="0" w:space="0" w:color="auto"/>
      </w:divBdr>
    </w:div>
    <w:div w:id="1445342616">
      <w:bodyDiv w:val="1"/>
      <w:marLeft w:val="0"/>
      <w:marRight w:val="0"/>
      <w:marTop w:val="0"/>
      <w:marBottom w:val="0"/>
      <w:divBdr>
        <w:top w:val="none" w:sz="0" w:space="0" w:color="auto"/>
        <w:left w:val="none" w:sz="0" w:space="0" w:color="auto"/>
        <w:bottom w:val="none" w:sz="0" w:space="0" w:color="auto"/>
        <w:right w:val="none" w:sz="0" w:space="0" w:color="auto"/>
      </w:divBdr>
    </w:div>
    <w:div w:id="1468013650">
      <w:bodyDiv w:val="1"/>
      <w:marLeft w:val="0"/>
      <w:marRight w:val="0"/>
      <w:marTop w:val="0"/>
      <w:marBottom w:val="0"/>
      <w:divBdr>
        <w:top w:val="none" w:sz="0" w:space="0" w:color="auto"/>
        <w:left w:val="none" w:sz="0" w:space="0" w:color="auto"/>
        <w:bottom w:val="none" w:sz="0" w:space="0" w:color="auto"/>
        <w:right w:val="none" w:sz="0" w:space="0" w:color="auto"/>
      </w:divBdr>
      <w:divsChild>
        <w:div w:id="157157724">
          <w:marLeft w:val="547"/>
          <w:marRight w:val="0"/>
          <w:marTop w:val="0"/>
          <w:marBottom w:val="240"/>
          <w:divBdr>
            <w:top w:val="none" w:sz="0" w:space="0" w:color="auto"/>
            <w:left w:val="none" w:sz="0" w:space="0" w:color="auto"/>
            <w:bottom w:val="none" w:sz="0" w:space="0" w:color="auto"/>
            <w:right w:val="none" w:sz="0" w:space="0" w:color="auto"/>
          </w:divBdr>
        </w:div>
        <w:div w:id="390538196">
          <w:marLeft w:val="547"/>
          <w:marRight w:val="0"/>
          <w:marTop w:val="0"/>
          <w:marBottom w:val="240"/>
          <w:divBdr>
            <w:top w:val="none" w:sz="0" w:space="0" w:color="auto"/>
            <w:left w:val="none" w:sz="0" w:space="0" w:color="auto"/>
            <w:bottom w:val="none" w:sz="0" w:space="0" w:color="auto"/>
            <w:right w:val="none" w:sz="0" w:space="0" w:color="auto"/>
          </w:divBdr>
        </w:div>
        <w:div w:id="408814394">
          <w:marLeft w:val="547"/>
          <w:marRight w:val="0"/>
          <w:marTop w:val="0"/>
          <w:marBottom w:val="240"/>
          <w:divBdr>
            <w:top w:val="none" w:sz="0" w:space="0" w:color="auto"/>
            <w:left w:val="none" w:sz="0" w:space="0" w:color="auto"/>
            <w:bottom w:val="none" w:sz="0" w:space="0" w:color="auto"/>
            <w:right w:val="none" w:sz="0" w:space="0" w:color="auto"/>
          </w:divBdr>
        </w:div>
        <w:div w:id="943851629">
          <w:marLeft w:val="547"/>
          <w:marRight w:val="0"/>
          <w:marTop w:val="0"/>
          <w:marBottom w:val="240"/>
          <w:divBdr>
            <w:top w:val="none" w:sz="0" w:space="0" w:color="auto"/>
            <w:left w:val="none" w:sz="0" w:space="0" w:color="auto"/>
            <w:bottom w:val="none" w:sz="0" w:space="0" w:color="auto"/>
            <w:right w:val="none" w:sz="0" w:space="0" w:color="auto"/>
          </w:divBdr>
        </w:div>
        <w:div w:id="1328361188">
          <w:marLeft w:val="547"/>
          <w:marRight w:val="0"/>
          <w:marTop w:val="0"/>
          <w:marBottom w:val="240"/>
          <w:divBdr>
            <w:top w:val="none" w:sz="0" w:space="0" w:color="auto"/>
            <w:left w:val="none" w:sz="0" w:space="0" w:color="auto"/>
            <w:bottom w:val="none" w:sz="0" w:space="0" w:color="auto"/>
            <w:right w:val="none" w:sz="0" w:space="0" w:color="auto"/>
          </w:divBdr>
        </w:div>
      </w:divsChild>
    </w:div>
    <w:div w:id="1518229280">
      <w:bodyDiv w:val="1"/>
      <w:marLeft w:val="0"/>
      <w:marRight w:val="0"/>
      <w:marTop w:val="0"/>
      <w:marBottom w:val="0"/>
      <w:divBdr>
        <w:top w:val="none" w:sz="0" w:space="0" w:color="auto"/>
        <w:left w:val="none" w:sz="0" w:space="0" w:color="auto"/>
        <w:bottom w:val="none" w:sz="0" w:space="0" w:color="auto"/>
        <w:right w:val="none" w:sz="0" w:space="0" w:color="auto"/>
      </w:divBdr>
    </w:div>
    <w:div w:id="1519730079">
      <w:bodyDiv w:val="1"/>
      <w:marLeft w:val="0"/>
      <w:marRight w:val="0"/>
      <w:marTop w:val="0"/>
      <w:marBottom w:val="0"/>
      <w:divBdr>
        <w:top w:val="none" w:sz="0" w:space="0" w:color="auto"/>
        <w:left w:val="none" w:sz="0" w:space="0" w:color="auto"/>
        <w:bottom w:val="none" w:sz="0" w:space="0" w:color="auto"/>
        <w:right w:val="none" w:sz="0" w:space="0" w:color="auto"/>
      </w:divBdr>
    </w:div>
    <w:div w:id="1739134377">
      <w:bodyDiv w:val="1"/>
      <w:marLeft w:val="0"/>
      <w:marRight w:val="0"/>
      <w:marTop w:val="0"/>
      <w:marBottom w:val="0"/>
      <w:divBdr>
        <w:top w:val="none" w:sz="0" w:space="0" w:color="auto"/>
        <w:left w:val="none" w:sz="0" w:space="0" w:color="auto"/>
        <w:bottom w:val="none" w:sz="0" w:space="0" w:color="auto"/>
        <w:right w:val="none" w:sz="0" w:space="0" w:color="auto"/>
      </w:divBdr>
      <w:divsChild>
        <w:div w:id="2027901050">
          <w:marLeft w:val="547"/>
          <w:marRight w:val="0"/>
          <w:marTop w:val="115"/>
          <w:marBottom w:val="0"/>
          <w:divBdr>
            <w:top w:val="none" w:sz="0" w:space="0" w:color="auto"/>
            <w:left w:val="none" w:sz="0" w:space="0" w:color="auto"/>
            <w:bottom w:val="none" w:sz="0" w:space="0" w:color="auto"/>
            <w:right w:val="none" w:sz="0" w:space="0" w:color="auto"/>
          </w:divBdr>
        </w:div>
      </w:divsChild>
    </w:div>
    <w:div w:id="1820803494">
      <w:bodyDiv w:val="1"/>
      <w:marLeft w:val="0"/>
      <w:marRight w:val="0"/>
      <w:marTop w:val="0"/>
      <w:marBottom w:val="0"/>
      <w:divBdr>
        <w:top w:val="none" w:sz="0" w:space="0" w:color="auto"/>
        <w:left w:val="none" w:sz="0" w:space="0" w:color="auto"/>
        <w:bottom w:val="none" w:sz="0" w:space="0" w:color="auto"/>
        <w:right w:val="none" w:sz="0" w:space="0" w:color="auto"/>
      </w:divBdr>
    </w:div>
    <w:div w:id="1883403634">
      <w:bodyDiv w:val="1"/>
      <w:marLeft w:val="0"/>
      <w:marRight w:val="0"/>
      <w:marTop w:val="0"/>
      <w:marBottom w:val="0"/>
      <w:divBdr>
        <w:top w:val="none" w:sz="0" w:space="0" w:color="auto"/>
        <w:left w:val="none" w:sz="0" w:space="0" w:color="auto"/>
        <w:bottom w:val="none" w:sz="0" w:space="0" w:color="auto"/>
        <w:right w:val="none" w:sz="0" w:space="0" w:color="auto"/>
      </w:divBdr>
    </w:div>
    <w:div w:id="1900700886">
      <w:bodyDiv w:val="1"/>
      <w:marLeft w:val="0"/>
      <w:marRight w:val="0"/>
      <w:marTop w:val="0"/>
      <w:marBottom w:val="0"/>
      <w:divBdr>
        <w:top w:val="none" w:sz="0" w:space="0" w:color="auto"/>
        <w:left w:val="none" w:sz="0" w:space="0" w:color="auto"/>
        <w:bottom w:val="none" w:sz="0" w:space="0" w:color="auto"/>
        <w:right w:val="none" w:sz="0" w:space="0" w:color="auto"/>
      </w:divBdr>
    </w:div>
    <w:div w:id="1942180526">
      <w:bodyDiv w:val="1"/>
      <w:marLeft w:val="0"/>
      <w:marRight w:val="0"/>
      <w:marTop w:val="0"/>
      <w:marBottom w:val="0"/>
      <w:divBdr>
        <w:top w:val="none" w:sz="0" w:space="0" w:color="auto"/>
        <w:left w:val="none" w:sz="0" w:space="0" w:color="auto"/>
        <w:bottom w:val="none" w:sz="0" w:space="0" w:color="auto"/>
        <w:right w:val="none" w:sz="0" w:space="0" w:color="auto"/>
      </w:divBdr>
      <w:divsChild>
        <w:div w:id="2093774863">
          <w:marLeft w:val="547"/>
          <w:marRight w:val="0"/>
          <w:marTop w:val="115"/>
          <w:marBottom w:val="0"/>
          <w:divBdr>
            <w:top w:val="none" w:sz="0" w:space="0" w:color="auto"/>
            <w:left w:val="none" w:sz="0" w:space="0" w:color="auto"/>
            <w:bottom w:val="none" w:sz="0" w:space="0" w:color="auto"/>
            <w:right w:val="none" w:sz="0" w:space="0" w:color="auto"/>
          </w:divBdr>
        </w:div>
      </w:divsChild>
    </w:div>
    <w:div w:id="1958758073">
      <w:bodyDiv w:val="1"/>
      <w:marLeft w:val="0"/>
      <w:marRight w:val="0"/>
      <w:marTop w:val="0"/>
      <w:marBottom w:val="0"/>
      <w:divBdr>
        <w:top w:val="none" w:sz="0" w:space="0" w:color="auto"/>
        <w:left w:val="none" w:sz="0" w:space="0" w:color="auto"/>
        <w:bottom w:val="none" w:sz="0" w:space="0" w:color="auto"/>
        <w:right w:val="none" w:sz="0" w:space="0" w:color="auto"/>
      </w:divBdr>
      <w:divsChild>
        <w:div w:id="618726710">
          <w:marLeft w:val="547"/>
          <w:marRight w:val="0"/>
          <w:marTop w:val="360"/>
          <w:marBottom w:val="0"/>
          <w:divBdr>
            <w:top w:val="none" w:sz="0" w:space="0" w:color="auto"/>
            <w:left w:val="none" w:sz="0" w:space="0" w:color="auto"/>
            <w:bottom w:val="none" w:sz="0" w:space="0" w:color="auto"/>
            <w:right w:val="none" w:sz="0" w:space="0" w:color="auto"/>
          </w:divBdr>
        </w:div>
        <w:div w:id="1136608414">
          <w:marLeft w:val="547"/>
          <w:marRight w:val="0"/>
          <w:marTop w:val="115"/>
          <w:marBottom w:val="0"/>
          <w:divBdr>
            <w:top w:val="none" w:sz="0" w:space="0" w:color="auto"/>
            <w:left w:val="none" w:sz="0" w:space="0" w:color="auto"/>
            <w:bottom w:val="none" w:sz="0" w:space="0" w:color="auto"/>
            <w:right w:val="none" w:sz="0" w:space="0" w:color="auto"/>
          </w:divBdr>
        </w:div>
        <w:div w:id="1210728089">
          <w:marLeft w:val="547"/>
          <w:marRight w:val="0"/>
          <w:marTop w:val="120"/>
          <w:marBottom w:val="0"/>
          <w:divBdr>
            <w:top w:val="none" w:sz="0" w:space="0" w:color="auto"/>
            <w:left w:val="none" w:sz="0" w:space="0" w:color="auto"/>
            <w:bottom w:val="none" w:sz="0" w:space="0" w:color="auto"/>
            <w:right w:val="none" w:sz="0" w:space="0" w:color="auto"/>
          </w:divBdr>
        </w:div>
      </w:divsChild>
    </w:div>
    <w:div w:id="1981569338">
      <w:bodyDiv w:val="1"/>
      <w:marLeft w:val="0"/>
      <w:marRight w:val="0"/>
      <w:marTop w:val="0"/>
      <w:marBottom w:val="0"/>
      <w:divBdr>
        <w:top w:val="none" w:sz="0" w:space="0" w:color="auto"/>
        <w:left w:val="none" w:sz="0" w:space="0" w:color="auto"/>
        <w:bottom w:val="none" w:sz="0" w:space="0" w:color="auto"/>
        <w:right w:val="none" w:sz="0" w:space="0" w:color="auto"/>
      </w:divBdr>
    </w:div>
    <w:div w:id="20559320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gif"/><Relationship Id="rId18" Type="http://schemas.openxmlformats.org/officeDocument/2006/relationships/image" Target="media/image10.gif"/><Relationship Id="rId26" Type="http://schemas.openxmlformats.org/officeDocument/2006/relationships/image" Target="media/image18.gif"/><Relationship Id="rId3" Type="http://schemas.openxmlformats.org/officeDocument/2006/relationships/styles" Target="styles.xml"/><Relationship Id="rId21" Type="http://schemas.openxmlformats.org/officeDocument/2006/relationships/image" Target="media/image13.gif"/><Relationship Id="rId34"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gif"/><Relationship Id="rId17" Type="http://schemas.openxmlformats.org/officeDocument/2006/relationships/image" Target="media/image9.gif"/><Relationship Id="rId25" Type="http://schemas.openxmlformats.org/officeDocument/2006/relationships/image" Target="media/image17.gif"/><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gif"/><Relationship Id="rId20" Type="http://schemas.openxmlformats.org/officeDocument/2006/relationships/image" Target="media/image12.gif"/><Relationship Id="rId29" Type="http://schemas.openxmlformats.org/officeDocument/2006/relationships/image" Target="media/image21.gi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gif"/><Relationship Id="rId24" Type="http://schemas.openxmlformats.org/officeDocument/2006/relationships/image" Target="media/image16.gif"/><Relationship Id="rId32" Type="http://schemas.openxmlformats.org/officeDocument/2006/relationships/image" Target="media/image24.gif"/><Relationship Id="rId5" Type="http://schemas.openxmlformats.org/officeDocument/2006/relationships/settings" Target="settings.xml"/><Relationship Id="rId15" Type="http://schemas.openxmlformats.org/officeDocument/2006/relationships/image" Target="media/image7.gif"/><Relationship Id="rId23" Type="http://schemas.openxmlformats.org/officeDocument/2006/relationships/image" Target="media/image15.gif"/><Relationship Id="rId28" Type="http://schemas.openxmlformats.org/officeDocument/2006/relationships/image" Target="media/image20.gif"/><Relationship Id="rId36" Type="http://schemas.openxmlformats.org/officeDocument/2006/relationships/theme" Target="theme/theme1.xml"/><Relationship Id="rId10" Type="http://schemas.openxmlformats.org/officeDocument/2006/relationships/image" Target="media/image2.gif"/><Relationship Id="rId19" Type="http://schemas.openxmlformats.org/officeDocument/2006/relationships/image" Target="media/image11.gif"/><Relationship Id="rId31" Type="http://schemas.openxmlformats.org/officeDocument/2006/relationships/image" Target="media/image23.gif"/><Relationship Id="rId4" Type="http://schemas.microsoft.com/office/2007/relationships/stylesWithEffects" Target="stylesWithEffects.xml"/><Relationship Id="rId9" Type="http://schemas.openxmlformats.org/officeDocument/2006/relationships/image" Target="media/image1.gif"/><Relationship Id="rId14" Type="http://schemas.openxmlformats.org/officeDocument/2006/relationships/image" Target="media/image6.gif"/><Relationship Id="rId22" Type="http://schemas.openxmlformats.org/officeDocument/2006/relationships/image" Target="media/image14.gif"/><Relationship Id="rId27" Type="http://schemas.openxmlformats.org/officeDocument/2006/relationships/image" Target="media/image19.gif"/><Relationship Id="rId30" Type="http://schemas.openxmlformats.org/officeDocument/2006/relationships/image" Target="media/image22.gif"/><Relationship Id="rId35"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69FC4E-8A0F-4B6E-A30A-E149882F18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535</TotalTime>
  <Pages>29</Pages>
  <Words>838</Words>
  <Characters>4777</Characters>
  <Application>Microsoft Office Word</Application>
  <DocSecurity>0</DocSecurity>
  <Lines>39</Lines>
  <Paragraphs>11</Paragraphs>
  <ScaleCrop>false</ScaleCrop>
  <HeadingPairs>
    <vt:vector size="2" baseType="variant">
      <vt:variant>
        <vt:lpstr>タイトル</vt:lpstr>
      </vt:variant>
      <vt:variant>
        <vt:i4>1</vt:i4>
      </vt:variant>
    </vt:vector>
  </HeadingPairs>
  <TitlesOfParts>
    <vt:vector size="1" baseType="lpstr">
      <vt:lpstr/>
    </vt:vector>
  </TitlesOfParts>
  <Company>兵庫県</Company>
  <LinksUpToDate>false</LinksUpToDate>
  <CharactersWithSpaces>5604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兵庫県;eidell</dc:creator>
  <cp:lastModifiedBy>兵庫県</cp:lastModifiedBy>
  <cp:revision>24</cp:revision>
  <cp:lastPrinted>2018-03-06T01:34:00Z</cp:lastPrinted>
  <dcterms:created xsi:type="dcterms:W3CDTF">2018-01-05T05:34:00Z</dcterms:created>
  <dcterms:modified xsi:type="dcterms:W3CDTF">2018-03-06T01:36:00Z</dcterms:modified>
</cp:coreProperties>
</file>